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26961" w14:textId="77777777" w:rsidR="00F83C38" w:rsidRPr="00C10D1C" w:rsidRDefault="00F83C38" w:rsidP="00F83C38">
      <w:pPr>
        <w:spacing w:line="276" w:lineRule="auto"/>
        <w:jc w:val="right"/>
        <w:rPr>
          <w:b/>
          <w:lang w:val="ro-MD"/>
        </w:rPr>
      </w:pPr>
      <w:bookmarkStart w:id="0" w:name="_GoBack"/>
      <w:bookmarkEnd w:id="0"/>
      <w:r w:rsidRPr="00C10D1C">
        <w:rPr>
          <w:b/>
          <w:lang w:val="ro-MD"/>
        </w:rPr>
        <w:t>Proiect</w:t>
      </w:r>
    </w:p>
    <w:p w14:paraId="0C4186BB" w14:textId="77777777" w:rsidR="00F83C38" w:rsidRPr="00C10D1C" w:rsidRDefault="00F83C38" w:rsidP="00F83C38">
      <w:pPr>
        <w:spacing w:line="276" w:lineRule="auto"/>
        <w:jc w:val="center"/>
        <w:rPr>
          <w:b/>
          <w:lang w:val="ro-MD"/>
        </w:rPr>
      </w:pPr>
    </w:p>
    <w:p w14:paraId="48DA7B44" w14:textId="77777777" w:rsidR="002B6FE8" w:rsidRPr="00C10D1C" w:rsidRDefault="002B6FE8" w:rsidP="00F83C38">
      <w:pPr>
        <w:spacing w:line="276" w:lineRule="auto"/>
        <w:jc w:val="center"/>
        <w:rPr>
          <w:b/>
          <w:lang w:val="ro-MD"/>
        </w:rPr>
      </w:pPr>
    </w:p>
    <w:p w14:paraId="00B7B68D" w14:textId="77777777" w:rsidR="002B6FE8" w:rsidRPr="00C10D1C" w:rsidRDefault="002B6FE8" w:rsidP="00F83C38">
      <w:pPr>
        <w:spacing w:line="276" w:lineRule="auto"/>
        <w:jc w:val="center"/>
        <w:rPr>
          <w:b/>
          <w:lang w:val="ro-MD"/>
        </w:rPr>
      </w:pPr>
    </w:p>
    <w:p w14:paraId="22E2E058" w14:textId="77777777" w:rsidR="00F83C38" w:rsidRPr="00C10D1C" w:rsidRDefault="00F83C38" w:rsidP="00F83C38">
      <w:pPr>
        <w:spacing w:line="276" w:lineRule="auto"/>
        <w:jc w:val="center"/>
        <w:rPr>
          <w:b/>
          <w:lang w:val="ro-MD"/>
        </w:rPr>
      </w:pPr>
      <w:r w:rsidRPr="00C10D1C">
        <w:rPr>
          <w:b/>
          <w:lang w:val="ro-MD"/>
        </w:rPr>
        <w:t>COMITETUL EXECUTIV</w:t>
      </w:r>
    </w:p>
    <w:p w14:paraId="74C54E62" w14:textId="77777777" w:rsidR="00F83C38" w:rsidRPr="00C10D1C" w:rsidRDefault="00F83C38" w:rsidP="00F83C38">
      <w:pPr>
        <w:pStyle w:val="Heading2"/>
        <w:spacing w:line="276" w:lineRule="auto"/>
        <w:rPr>
          <w:sz w:val="24"/>
          <w:lang w:val="ro-MD"/>
        </w:rPr>
      </w:pPr>
      <w:r w:rsidRPr="00C10D1C">
        <w:rPr>
          <w:sz w:val="24"/>
          <w:lang w:val="ro-MD"/>
        </w:rPr>
        <w:t>AL BĂNCII NAȚIONALE A MOLDOVEI</w:t>
      </w:r>
    </w:p>
    <w:p w14:paraId="505CF6B5" w14:textId="77777777" w:rsidR="00F83C38" w:rsidRPr="00C10D1C" w:rsidRDefault="00F83C38" w:rsidP="00F83C38">
      <w:pPr>
        <w:spacing w:line="276" w:lineRule="auto"/>
        <w:jc w:val="center"/>
        <w:rPr>
          <w:b/>
          <w:lang w:val="ro-MD"/>
        </w:rPr>
      </w:pPr>
    </w:p>
    <w:p w14:paraId="19714B9B" w14:textId="77777777" w:rsidR="00F83C38" w:rsidRPr="00C10D1C" w:rsidRDefault="00F83C38" w:rsidP="00F83C38">
      <w:pPr>
        <w:pStyle w:val="Title"/>
        <w:spacing w:line="276" w:lineRule="auto"/>
        <w:rPr>
          <w:sz w:val="24"/>
          <w:lang w:val="ro-MD"/>
        </w:rPr>
      </w:pPr>
      <w:r w:rsidRPr="00C10D1C">
        <w:rPr>
          <w:sz w:val="24"/>
          <w:lang w:val="ro-MD"/>
        </w:rPr>
        <w:t xml:space="preserve">HOTĂRÂREA Nr.___ </w:t>
      </w:r>
    </w:p>
    <w:p w14:paraId="2A6E4896" w14:textId="77777777" w:rsidR="00F83C38" w:rsidRPr="00C10D1C" w:rsidRDefault="00F83C38" w:rsidP="00F83C38">
      <w:pPr>
        <w:pStyle w:val="Title"/>
        <w:spacing w:line="276" w:lineRule="auto"/>
        <w:rPr>
          <w:lang w:val="ro-MD"/>
        </w:rPr>
      </w:pPr>
      <w:r w:rsidRPr="00C10D1C">
        <w:rPr>
          <w:sz w:val="24"/>
          <w:lang w:val="ro-MD"/>
        </w:rPr>
        <w:t>din „___” __________ 20___</w:t>
      </w:r>
    </w:p>
    <w:p w14:paraId="63E35CB6" w14:textId="77777777" w:rsidR="00F83C38" w:rsidRPr="00C10D1C" w:rsidRDefault="00F83C38" w:rsidP="00F83C38">
      <w:pPr>
        <w:spacing w:line="276" w:lineRule="auto"/>
        <w:ind w:left="426" w:right="611"/>
        <w:jc w:val="right"/>
        <w:rPr>
          <w:b/>
          <w:lang w:val="ro-MD"/>
        </w:rPr>
      </w:pPr>
    </w:p>
    <w:p w14:paraId="5A945EC0" w14:textId="1118C4AF" w:rsidR="00F83C38" w:rsidRDefault="00C157FC" w:rsidP="004500BD">
      <w:pPr>
        <w:spacing w:line="276" w:lineRule="auto"/>
        <w:jc w:val="center"/>
        <w:rPr>
          <w:b/>
          <w:lang w:val="ro-MD"/>
        </w:rPr>
      </w:pPr>
      <w:r>
        <w:rPr>
          <w:b/>
          <w:lang w:val="ro-MD"/>
        </w:rPr>
        <w:t>Pentru</w:t>
      </w:r>
      <w:r w:rsidRPr="00C157FC">
        <w:rPr>
          <w:b/>
          <w:lang w:val="ro-MD"/>
        </w:rPr>
        <w:t xml:space="preserve"> modificarea </w:t>
      </w:r>
      <w:r w:rsidR="004500BD">
        <w:rPr>
          <w:b/>
          <w:lang w:val="ro-MD"/>
        </w:rPr>
        <w:t>unor acte normative ale Băncii Naționale a Moldovei</w:t>
      </w:r>
    </w:p>
    <w:p w14:paraId="0903DBB2" w14:textId="77777777" w:rsidR="00C157FC" w:rsidRPr="00C10D1C" w:rsidRDefault="00C157FC" w:rsidP="00C157FC">
      <w:pPr>
        <w:spacing w:line="276" w:lineRule="auto"/>
        <w:jc w:val="center"/>
        <w:rPr>
          <w:b/>
          <w:lang w:val="ro-MD"/>
        </w:rPr>
      </w:pPr>
    </w:p>
    <w:p w14:paraId="740FFD60" w14:textId="10634E79" w:rsidR="00F83C38" w:rsidRPr="00C10D1C" w:rsidRDefault="00F83C38" w:rsidP="00DC4FCF">
      <w:pPr>
        <w:pStyle w:val="NormalWeb"/>
        <w:tabs>
          <w:tab w:val="left" w:pos="1134"/>
        </w:tabs>
        <w:spacing w:line="276" w:lineRule="auto"/>
        <w:ind w:firstLine="360"/>
        <w:rPr>
          <w:lang w:val="ro-MD"/>
        </w:rPr>
      </w:pPr>
      <w:r w:rsidRPr="00C10D1C">
        <w:rPr>
          <w:lang w:val="ro-MD"/>
        </w:rPr>
        <w:t>În temeiul art. 11 alin. (1) și art. 27 alin. (1) lit. c) din Legea nr. 548</w:t>
      </w:r>
      <w:r w:rsidR="00924623" w:rsidRPr="00C10D1C">
        <w:rPr>
          <w:lang w:val="ro-MD"/>
        </w:rPr>
        <w:t>/</w:t>
      </w:r>
      <w:r w:rsidRPr="00C10D1C">
        <w:rPr>
          <w:lang w:val="ro-MD"/>
        </w:rPr>
        <w:t>1995 cu privire la Banca Națională a Moldovei (republicată în Monitorul Oficial al Republicii Moldova, 2015, nr. 297-300, art. 544), cu modificările ulterioare, precum și</w:t>
      </w:r>
      <w:r w:rsidR="002F4396" w:rsidRPr="00AC1C1B">
        <w:rPr>
          <w:lang w:val="en-US"/>
        </w:rPr>
        <w:t xml:space="preserve"> </w:t>
      </w:r>
      <w:r w:rsidR="002F4396" w:rsidRPr="002F4396">
        <w:rPr>
          <w:lang w:val="ro-MD"/>
        </w:rPr>
        <w:t>art.83 lit.c)</w:t>
      </w:r>
      <w:r w:rsidR="002F4396">
        <w:rPr>
          <w:lang w:val="ro-MD"/>
        </w:rPr>
        <w:t xml:space="preserve"> și</w:t>
      </w:r>
      <w:r w:rsidRPr="00C10D1C">
        <w:rPr>
          <w:lang w:val="ro-MD"/>
        </w:rPr>
        <w:t xml:space="preserve"> </w:t>
      </w:r>
      <w:r w:rsidR="00334F52" w:rsidRPr="00C10D1C">
        <w:rPr>
          <w:lang w:val="ro-MD"/>
        </w:rPr>
        <w:t>art</w:t>
      </w:r>
      <w:r w:rsidR="00F6346B" w:rsidRPr="00C10D1C">
        <w:rPr>
          <w:lang w:val="ro-MD"/>
        </w:rPr>
        <w:t>.</w:t>
      </w:r>
      <w:r w:rsidR="0007362B" w:rsidRPr="00C10D1C">
        <w:rPr>
          <w:lang w:val="ro-MD"/>
        </w:rPr>
        <w:t xml:space="preserve"> </w:t>
      </w:r>
      <w:r w:rsidR="00C157FC">
        <w:rPr>
          <w:lang w:val="ro-MD"/>
        </w:rPr>
        <w:t>85 alin.(4)</w:t>
      </w:r>
      <w:r w:rsidR="0007362B" w:rsidRPr="00C10D1C">
        <w:rPr>
          <w:lang w:val="ro-MD"/>
        </w:rPr>
        <w:t xml:space="preserve"> </w:t>
      </w:r>
      <w:r w:rsidR="00334F52" w:rsidRPr="00C10D1C">
        <w:rPr>
          <w:lang w:val="ro-MD"/>
        </w:rPr>
        <w:t xml:space="preserve">din </w:t>
      </w:r>
      <w:r w:rsidR="00334F52" w:rsidRPr="00C10D1C">
        <w:rPr>
          <w:rStyle w:val="Strong"/>
          <w:b w:val="0"/>
          <w:lang w:val="ro-MD"/>
        </w:rPr>
        <w:t>Legea nr. 202</w:t>
      </w:r>
      <w:r w:rsidR="00924623" w:rsidRPr="00C10D1C">
        <w:rPr>
          <w:rStyle w:val="Strong"/>
          <w:b w:val="0"/>
          <w:lang w:val="ro-MD"/>
        </w:rPr>
        <w:t>/</w:t>
      </w:r>
      <w:r w:rsidR="00334F52" w:rsidRPr="00C10D1C">
        <w:rPr>
          <w:rStyle w:val="Strong"/>
          <w:b w:val="0"/>
          <w:lang w:val="ro-MD"/>
        </w:rPr>
        <w:t>2017 privind activitatea băncilor</w:t>
      </w:r>
      <w:r w:rsidR="00E40E95" w:rsidRPr="00C10D1C">
        <w:rPr>
          <w:rStyle w:val="Strong"/>
          <w:lang w:val="ro-MD"/>
        </w:rPr>
        <w:t xml:space="preserve"> </w:t>
      </w:r>
      <w:r w:rsidR="00E40E95" w:rsidRPr="00C10D1C">
        <w:rPr>
          <w:rStyle w:val="Strong"/>
          <w:b w:val="0"/>
          <w:lang w:val="ro-MD"/>
        </w:rPr>
        <w:t>(</w:t>
      </w:r>
      <w:r w:rsidR="00E40E95" w:rsidRPr="00C10D1C">
        <w:rPr>
          <w:lang w:val="ro-MD"/>
        </w:rPr>
        <w:t>Monitorul Oficial al Republicii Moldova 2017, nr.434-439, art.727)</w:t>
      </w:r>
      <w:r w:rsidRPr="00C10D1C">
        <w:rPr>
          <w:lang w:val="ro-MD"/>
        </w:rPr>
        <w:t xml:space="preserve">, </w:t>
      </w:r>
      <w:r w:rsidR="00C157FC" w:rsidRPr="00C10D1C">
        <w:rPr>
          <w:lang w:val="ro-MD"/>
        </w:rPr>
        <w:t xml:space="preserve">cu modificările ulterioare, </w:t>
      </w:r>
      <w:r w:rsidRPr="00C10D1C">
        <w:rPr>
          <w:lang w:val="ro-MD"/>
        </w:rPr>
        <w:t>Comitetul executiv al Băncii Naționale a Moldovei</w:t>
      </w:r>
    </w:p>
    <w:p w14:paraId="2478312E" w14:textId="77777777" w:rsidR="00F83C38" w:rsidRPr="00C10D1C" w:rsidRDefault="00F83C38" w:rsidP="00F83C38">
      <w:pPr>
        <w:tabs>
          <w:tab w:val="left" w:pos="1134"/>
        </w:tabs>
        <w:spacing w:line="276" w:lineRule="auto"/>
        <w:ind w:firstLine="720"/>
        <w:jc w:val="both"/>
        <w:rPr>
          <w:b/>
          <w:lang w:val="ro-MD"/>
        </w:rPr>
      </w:pPr>
    </w:p>
    <w:p w14:paraId="32037B5E" w14:textId="77777777" w:rsidR="005A7B4E" w:rsidRPr="00C10D1C" w:rsidRDefault="005A7B4E" w:rsidP="00F83C38">
      <w:pPr>
        <w:tabs>
          <w:tab w:val="left" w:pos="1134"/>
        </w:tabs>
        <w:spacing w:line="276" w:lineRule="auto"/>
        <w:ind w:firstLine="720"/>
        <w:jc w:val="both"/>
        <w:rPr>
          <w:b/>
          <w:lang w:val="ro-MD"/>
        </w:rPr>
      </w:pPr>
    </w:p>
    <w:p w14:paraId="4AA08DD4" w14:textId="77777777" w:rsidR="00F83C38" w:rsidRPr="00C10D1C" w:rsidRDefault="00F83C38" w:rsidP="00F83C38">
      <w:pPr>
        <w:tabs>
          <w:tab w:val="left" w:pos="1134"/>
        </w:tabs>
        <w:spacing w:line="276" w:lineRule="auto"/>
        <w:jc w:val="center"/>
        <w:rPr>
          <w:b/>
          <w:lang w:val="ro-MD"/>
        </w:rPr>
      </w:pPr>
      <w:r w:rsidRPr="00C10D1C">
        <w:rPr>
          <w:b/>
          <w:lang w:val="ro-MD"/>
        </w:rPr>
        <w:t>HOTĂRĂȘTE:</w:t>
      </w:r>
    </w:p>
    <w:p w14:paraId="0C6DDF33" w14:textId="77777777" w:rsidR="00E40E95" w:rsidRPr="00C10D1C" w:rsidRDefault="00E40E95" w:rsidP="00F83C38">
      <w:pPr>
        <w:tabs>
          <w:tab w:val="left" w:pos="1134"/>
        </w:tabs>
        <w:spacing w:line="276" w:lineRule="auto"/>
        <w:jc w:val="center"/>
        <w:rPr>
          <w:b/>
          <w:lang w:val="ro-MD"/>
        </w:rPr>
      </w:pPr>
    </w:p>
    <w:p w14:paraId="6E18718E" w14:textId="4C978207" w:rsidR="00C157FC" w:rsidRPr="00C157FC" w:rsidRDefault="007B4E9C" w:rsidP="00721E89">
      <w:pPr>
        <w:ind w:firstLine="426"/>
        <w:jc w:val="both"/>
        <w:rPr>
          <w:lang w:val="ro-MD" w:eastAsia="ro-MD"/>
        </w:rPr>
      </w:pPr>
      <w:r>
        <w:rPr>
          <w:b/>
          <w:bCs/>
          <w:lang w:val="ro-MD" w:eastAsia="ro-MD"/>
        </w:rPr>
        <w:t>1</w:t>
      </w:r>
      <w:r w:rsidR="00C157FC" w:rsidRPr="00C157FC">
        <w:rPr>
          <w:b/>
          <w:bCs/>
          <w:lang w:val="ro-MD" w:eastAsia="ro-MD"/>
        </w:rPr>
        <w:t>.</w:t>
      </w:r>
      <w:r w:rsidR="00C157FC" w:rsidRPr="00C157FC">
        <w:rPr>
          <w:lang w:val="ro-MD" w:eastAsia="ro-MD"/>
        </w:rPr>
        <w:t xml:space="preserve"> Planul de conturi al evidenţei contabile în băncile licenţiate din Republica Moldova, aprobat la şedinţa Consiliului de administraţie al Băncii Naţionale a Moldovei, proces-verbal nr.15 din 26 martie 1997 (Monitorul Oficial al Republicii Moldova, 1997, nr.33-34, art.54), cu modificările ulterioare, înregistrat la Ministerul Justiţiei </w:t>
      </w:r>
      <w:r w:rsidR="00F31F9B">
        <w:rPr>
          <w:lang w:val="ro-MD" w:eastAsia="ro-MD"/>
        </w:rPr>
        <w:t xml:space="preserve">al Republicii Moldova </w:t>
      </w:r>
      <w:r w:rsidR="00C157FC" w:rsidRPr="00C157FC">
        <w:rPr>
          <w:lang w:val="ro-MD" w:eastAsia="ro-MD"/>
        </w:rPr>
        <w:t>cu nr.504 din 21 august 2007, se modifică după cum urmează:</w:t>
      </w:r>
    </w:p>
    <w:p w14:paraId="3AC9401C" w14:textId="48E3F073" w:rsidR="00C157FC" w:rsidRPr="00C157FC" w:rsidRDefault="00C157FC" w:rsidP="00721E89">
      <w:pPr>
        <w:ind w:firstLine="426"/>
        <w:jc w:val="both"/>
        <w:rPr>
          <w:lang w:val="ro-MD" w:eastAsia="ro-MD"/>
        </w:rPr>
      </w:pPr>
      <w:r w:rsidRPr="00C157FC">
        <w:rPr>
          <w:b/>
          <w:bCs/>
          <w:lang w:val="ro-MD" w:eastAsia="ro-MD"/>
        </w:rPr>
        <w:t>1</w:t>
      </w:r>
      <w:r w:rsidR="007B4E9C">
        <w:rPr>
          <w:b/>
          <w:bCs/>
          <w:lang w:val="ro-MD" w:eastAsia="ro-MD"/>
        </w:rPr>
        <w:t>)</w:t>
      </w:r>
      <w:r w:rsidRPr="00C157FC">
        <w:rPr>
          <w:lang w:val="ro-MD" w:eastAsia="ro-MD"/>
        </w:rPr>
        <w:t xml:space="preserve"> </w:t>
      </w:r>
      <w:r w:rsidR="00FA4486">
        <w:rPr>
          <w:lang w:val="ro-MD" w:eastAsia="ro-MD"/>
        </w:rPr>
        <w:t>În denumire și p</w:t>
      </w:r>
      <w:r w:rsidRPr="00C157FC">
        <w:rPr>
          <w:lang w:val="ro-MD" w:eastAsia="ro-MD"/>
        </w:rPr>
        <w:t>e tot parcursul textului</w:t>
      </w:r>
      <w:r w:rsidR="00830051">
        <w:rPr>
          <w:lang w:val="ro-MD" w:eastAsia="ro-MD"/>
        </w:rPr>
        <w:t xml:space="preserve"> cuvintele</w:t>
      </w:r>
      <w:r w:rsidRPr="00C157FC">
        <w:rPr>
          <w:lang w:val="ro-MD" w:eastAsia="ro-MD"/>
        </w:rPr>
        <w:t xml:space="preserve"> </w:t>
      </w:r>
      <w:r>
        <w:rPr>
          <w:lang w:val="ro-MD" w:eastAsia="ro-MD"/>
        </w:rPr>
        <w:t xml:space="preserve">„băncile </w:t>
      </w:r>
      <w:r w:rsidR="00453A7B">
        <w:rPr>
          <w:lang w:val="ro-MD" w:eastAsia="ro-MD"/>
        </w:rPr>
        <w:t>licențiate</w:t>
      </w:r>
      <w:r w:rsidRPr="00C157FC">
        <w:rPr>
          <w:lang w:val="ro-MD" w:eastAsia="ro-MD"/>
        </w:rPr>
        <w:t xml:space="preserve">”, </w:t>
      </w:r>
      <w:r w:rsidR="007B4E9C" w:rsidRPr="007B4E9C">
        <w:rPr>
          <w:lang w:val="ro-MD" w:eastAsia="ro-MD"/>
        </w:rPr>
        <w:t>la orice formă gramaticală</w:t>
      </w:r>
      <w:r w:rsidR="00194108">
        <w:rPr>
          <w:lang w:val="ro-MD" w:eastAsia="ro-MD"/>
        </w:rPr>
        <w:t>,</w:t>
      </w:r>
      <w:r w:rsidR="007B4E9C" w:rsidRPr="007B4E9C">
        <w:rPr>
          <w:lang w:val="ro-MD" w:eastAsia="ro-MD"/>
        </w:rPr>
        <w:t xml:space="preserve"> se substituie cu </w:t>
      </w:r>
      <w:r w:rsidR="00F31F9B">
        <w:rPr>
          <w:lang w:val="ro-MD" w:eastAsia="ro-MD"/>
        </w:rPr>
        <w:t>cuvântul</w:t>
      </w:r>
      <w:r w:rsidR="00F31F9B" w:rsidRPr="00C157FC">
        <w:rPr>
          <w:lang w:val="ro-MD" w:eastAsia="ro-MD"/>
        </w:rPr>
        <w:t xml:space="preserve"> </w:t>
      </w:r>
      <w:r w:rsidR="00453A7B">
        <w:rPr>
          <w:lang w:val="ro-MD" w:eastAsia="ro-MD"/>
        </w:rPr>
        <w:t>„băncile</w:t>
      </w:r>
      <w:r w:rsidRPr="00C157FC">
        <w:rPr>
          <w:lang w:val="ro-MD" w:eastAsia="ro-MD"/>
        </w:rPr>
        <w:t xml:space="preserve">”, la </w:t>
      </w:r>
      <w:r w:rsidR="007B4E9C" w:rsidRPr="007B4E9C">
        <w:rPr>
          <w:lang w:val="ro-MD" w:eastAsia="ro-MD"/>
        </w:rPr>
        <w:t>forma gramaticală corespunzătoare</w:t>
      </w:r>
      <w:r w:rsidRPr="00C157FC">
        <w:rPr>
          <w:lang w:val="ro-MD" w:eastAsia="ro-MD"/>
        </w:rPr>
        <w:t>.</w:t>
      </w:r>
    </w:p>
    <w:p w14:paraId="55AD3ED3" w14:textId="22E38752" w:rsidR="00C157FC" w:rsidRDefault="00C157FC" w:rsidP="00721E89">
      <w:pPr>
        <w:ind w:firstLine="426"/>
        <w:jc w:val="both"/>
        <w:rPr>
          <w:lang w:val="ro-MD"/>
        </w:rPr>
      </w:pPr>
      <w:r w:rsidRPr="00C157FC">
        <w:rPr>
          <w:b/>
          <w:bCs/>
          <w:lang w:val="ro-MD" w:eastAsia="ro-MD"/>
        </w:rPr>
        <w:t>2</w:t>
      </w:r>
      <w:r w:rsidR="007B4E9C">
        <w:rPr>
          <w:b/>
          <w:bCs/>
          <w:lang w:val="ro-MD" w:eastAsia="ro-MD"/>
        </w:rPr>
        <w:t>)</w:t>
      </w:r>
      <w:r w:rsidRPr="00C157FC">
        <w:rPr>
          <w:lang w:val="ro-MD" w:eastAsia="ro-MD"/>
        </w:rPr>
        <w:t xml:space="preserve"> </w:t>
      </w:r>
      <w:r w:rsidR="00830051" w:rsidRPr="00830051">
        <w:rPr>
          <w:lang w:val="ro-MD" w:eastAsia="ro-MD"/>
        </w:rPr>
        <w:t xml:space="preserve">La capitolul II </w:t>
      </w:r>
      <w:r w:rsidR="00830051">
        <w:rPr>
          <w:lang w:val="ro-MD" w:eastAsia="ro-MD"/>
        </w:rPr>
        <w:t>„</w:t>
      </w:r>
      <w:r w:rsidR="00830051" w:rsidRPr="00830051">
        <w:rPr>
          <w:lang w:val="ro-MD" w:eastAsia="ro-MD"/>
        </w:rPr>
        <w:t>Nomenclatorul conturilor contabile”:</w:t>
      </w:r>
    </w:p>
    <w:p w14:paraId="724FF785" w14:textId="28F24452" w:rsidR="00D865A4" w:rsidRDefault="00322917" w:rsidP="00EC58F6">
      <w:pPr>
        <w:pStyle w:val="ListParagraph"/>
        <w:numPr>
          <w:ilvl w:val="0"/>
          <w:numId w:val="15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FA4486" w:rsidRPr="00FA4486">
        <w:rPr>
          <w:lang w:val="ro-MD"/>
        </w:rPr>
        <w:t xml:space="preserve">n grupa de conturi 1790 „Conturi de tranzit și suspendate”, după contul 1797 se </w:t>
      </w:r>
      <w:r w:rsidR="007B4E9C">
        <w:rPr>
          <w:lang w:val="ro-MD"/>
        </w:rPr>
        <w:t>completează</w:t>
      </w:r>
      <w:r w:rsidR="007B4E9C" w:rsidRPr="00FA4486">
        <w:rPr>
          <w:lang w:val="ro-MD"/>
        </w:rPr>
        <w:t xml:space="preserve"> </w:t>
      </w:r>
      <w:r w:rsidR="00A44267">
        <w:rPr>
          <w:lang w:val="ro-MD"/>
        </w:rPr>
        <w:t xml:space="preserve">cu </w:t>
      </w:r>
      <w:r w:rsidR="00FA4486" w:rsidRPr="00FA4486">
        <w:rPr>
          <w:lang w:val="ro-MD"/>
        </w:rPr>
        <w:t>un cont nou, cu următorul cuprins: „</w:t>
      </w:r>
      <w:r w:rsidR="00FA4486" w:rsidRPr="007E04C6">
        <w:rPr>
          <w:b/>
          <w:bCs/>
          <w:lang w:val="ro-MD"/>
        </w:rPr>
        <w:t>1799</w:t>
      </w:r>
      <w:r w:rsidR="00FA4486" w:rsidRPr="00FA4486">
        <w:rPr>
          <w:lang w:val="ro-MD"/>
        </w:rPr>
        <w:t xml:space="preserve"> Operațiuni</w:t>
      </w:r>
      <w:r w:rsidR="00E73E39">
        <w:rPr>
          <w:lang w:val="ro-MD"/>
        </w:rPr>
        <w:t xml:space="preserve"> prin sistemul de</w:t>
      </w:r>
      <w:r w:rsidR="00FA4486" w:rsidRPr="00FA4486">
        <w:rPr>
          <w:lang w:val="ro-MD"/>
        </w:rPr>
        <w:t xml:space="preserve"> plăți instant”;</w:t>
      </w:r>
    </w:p>
    <w:p w14:paraId="3F43149C" w14:textId="6A81367E" w:rsidR="008C55C5" w:rsidRDefault="000F68C7" w:rsidP="000F68C7">
      <w:pPr>
        <w:pStyle w:val="ListParagraph"/>
        <w:numPr>
          <w:ilvl w:val="0"/>
          <w:numId w:val="15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2B76CA" w:rsidRPr="00D865A4">
        <w:rPr>
          <w:lang w:val="ro-MD"/>
        </w:rPr>
        <w:t>n grupa de conturi 22</w:t>
      </w:r>
      <w:r w:rsidR="002B76CA">
        <w:rPr>
          <w:lang w:val="ro-MD"/>
        </w:rPr>
        <w:t>20</w:t>
      </w:r>
      <w:r w:rsidR="002B76CA" w:rsidRPr="00D865A4">
        <w:rPr>
          <w:lang w:val="ro-MD"/>
        </w:rPr>
        <w:t xml:space="preserve"> </w:t>
      </w:r>
      <w:r w:rsidR="002B76CA">
        <w:rPr>
          <w:lang w:val="ro-MD"/>
        </w:rPr>
        <w:t>„</w:t>
      </w:r>
      <w:r w:rsidR="002B76CA" w:rsidRPr="00D865A4">
        <w:rPr>
          <w:lang w:val="ro-MD"/>
        </w:rPr>
        <w:t xml:space="preserve">Depozite la vedere </w:t>
      </w:r>
      <w:r w:rsidR="002B76CA">
        <w:rPr>
          <w:lang w:val="ro-MD"/>
        </w:rPr>
        <w:t>fără</w:t>
      </w:r>
      <w:r w:rsidR="002B76CA" w:rsidRPr="00D865A4">
        <w:rPr>
          <w:lang w:val="ro-MD"/>
        </w:rPr>
        <w:t xml:space="preserve"> dobândă ale </w:t>
      </w:r>
      <w:r w:rsidR="002A7BC6" w:rsidRPr="00D865A4">
        <w:rPr>
          <w:lang w:val="ro-MD"/>
        </w:rPr>
        <w:t>clienților</w:t>
      </w:r>
      <w:r w:rsidR="002B76CA" w:rsidRPr="00D865A4">
        <w:rPr>
          <w:lang w:val="ro-MD"/>
        </w:rPr>
        <w:t>”, după contul 22</w:t>
      </w:r>
      <w:r w:rsidR="002B76CA">
        <w:rPr>
          <w:lang w:val="ro-MD"/>
        </w:rPr>
        <w:t xml:space="preserve">39 </w:t>
      </w:r>
      <w:r w:rsidR="002B76CA" w:rsidRPr="00D865A4">
        <w:rPr>
          <w:lang w:val="ro-MD"/>
        </w:rPr>
        <w:t xml:space="preserve">se </w:t>
      </w:r>
      <w:r w:rsidR="007B4E9C">
        <w:rPr>
          <w:lang w:val="ro-MD"/>
        </w:rPr>
        <w:t>completează</w:t>
      </w:r>
      <w:r w:rsidR="007B4E9C" w:rsidRPr="00D865A4">
        <w:rPr>
          <w:lang w:val="ro-MD"/>
        </w:rPr>
        <w:t xml:space="preserve"> </w:t>
      </w:r>
      <w:bookmarkStart w:id="1" w:name="_Hlk149679943"/>
      <w:r w:rsidR="008C55C5" w:rsidRPr="00D865A4">
        <w:rPr>
          <w:lang w:val="ro-MD"/>
        </w:rPr>
        <w:t xml:space="preserve">cu </w:t>
      </w:r>
      <w:r w:rsidR="008C55C5">
        <w:rPr>
          <w:lang w:val="ro-MD"/>
        </w:rPr>
        <w:t>următoarele conturi</w:t>
      </w:r>
      <w:r w:rsidR="008C55C5" w:rsidRPr="00D865A4">
        <w:rPr>
          <w:lang w:val="ro-MD"/>
        </w:rPr>
        <w:t xml:space="preserve">: </w:t>
      </w:r>
      <w:bookmarkEnd w:id="1"/>
    </w:p>
    <w:p w14:paraId="0B7A7573" w14:textId="33864058" w:rsidR="008C55C5" w:rsidRDefault="008C55C5" w:rsidP="008C55C5">
      <w:pPr>
        <w:ind w:left="709"/>
        <w:jc w:val="both"/>
        <w:rPr>
          <w:lang w:val="ro-MD"/>
        </w:rPr>
      </w:pPr>
      <w:r w:rsidRPr="006B0D4C">
        <w:rPr>
          <w:lang w:val="ro-MD"/>
        </w:rPr>
        <w:t>„</w:t>
      </w:r>
      <w:r w:rsidRPr="006B0D4C">
        <w:rPr>
          <w:b/>
          <w:bCs/>
          <w:lang w:val="ro-MD"/>
        </w:rPr>
        <w:t>2241</w:t>
      </w:r>
      <w:r w:rsidRPr="006B0D4C">
        <w:rPr>
          <w:lang w:val="ro-MD"/>
        </w:rPr>
        <w:t xml:space="preserve"> Conturi curente speciale ale clienților </w:t>
      </w:r>
      <w:r>
        <w:rPr>
          <w:lang w:val="ro-MD"/>
        </w:rPr>
        <w:t xml:space="preserve">persoane </w:t>
      </w:r>
      <w:r w:rsidR="00CE6841" w:rsidRPr="00CE6841">
        <w:rPr>
          <w:lang w:val="ro-MD"/>
        </w:rPr>
        <w:t xml:space="preserve">juridice </w:t>
      </w:r>
      <w:r w:rsidRPr="006B0D4C">
        <w:rPr>
          <w:lang w:val="ro-MD"/>
        </w:rPr>
        <w:t>aferent</w:t>
      </w:r>
      <w:r w:rsidR="000F271B">
        <w:rPr>
          <w:lang w:val="ro-MD"/>
        </w:rPr>
        <w:t>e</w:t>
      </w:r>
      <w:r w:rsidRPr="006B0D4C">
        <w:rPr>
          <w:lang w:val="ro-MD"/>
        </w:rPr>
        <w:t xml:space="preserve"> tranzacțiilor privind activele virtuale</w:t>
      </w:r>
    </w:p>
    <w:p w14:paraId="7F760DD7" w14:textId="04AFBF1F" w:rsidR="002B76CA" w:rsidRPr="008C55C5" w:rsidRDefault="008C55C5" w:rsidP="00AC1C1B">
      <w:pPr>
        <w:ind w:left="709"/>
        <w:jc w:val="both"/>
        <w:rPr>
          <w:lang w:val="ro-MD"/>
        </w:rPr>
      </w:pPr>
      <w:r w:rsidRPr="0052004D">
        <w:rPr>
          <w:b/>
          <w:bCs/>
          <w:lang w:val="ro-MD"/>
        </w:rPr>
        <w:t>2242</w:t>
      </w:r>
      <w:r>
        <w:rPr>
          <w:lang w:val="ro-MD"/>
        </w:rPr>
        <w:t xml:space="preserve"> </w:t>
      </w:r>
      <w:r w:rsidRPr="006B0D4C">
        <w:rPr>
          <w:lang w:val="ro-MD"/>
        </w:rPr>
        <w:t xml:space="preserve">Conturi curente speciale ale clienților </w:t>
      </w:r>
      <w:r>
        <w:rPr>
          <w:lang w:val="ro-MD"/>
        </w:rPr>
        <w:t xml:space="preserve">persoane </w:t>
      </w:r>
      <w:bookmarkStart w:id="2" w:name="_Hlk149680160"/>
      <w:r w:rsidR="00CE6841">
        <w:rPr>
          <w:lang w:val="ro-MD"/>
        </w:rPr>
        <w:t xml:space="preserve">fizice </w:t>
      </w:r>
      <w:bookmarkEnd w:id="2"/>
      <w:r w:rsidRPr="006B0D4C">
        <w:rPr>
          <w:lang w:val="ro-MD"/>
        </w:rPr>
        <w:t>aferent</w:t>
      </w:r>
      <w:r w:rsidR="00A8075F">
        <w:rPr>
          <w:lang w:val="ro-MD"/>
        </w:rPr>
        <w:t>e</w:t>
      </w:r>
      <w:r w:rsidRPr="006B0D4C">
        <w:rPr>
          <w:lang w:val="ro-MD"/>
        </w:rPr>
        <w:t xml:space="preserve"> tranzacțiilor privind activele virtuale”</w:t>
      </w:r>
      <w:r>
        <w:rPr>
          <w:lang w:val="ro-MD"/>
        </w:rPr>
        <w:t>;</w:t>
      </w:r>
    </w:p>
    <w:p w14:paraId="00D7A57A" w14:textId="4E12890D" w:rsidR="00FA4486" w:rsidRPr="00FA4486" w:rsidRDefault="00322917" w:rsidP="002A7BC6">
      <w:pPr>
        <w:pStyle w:val="ListParagraph"/>
        <w:numPr>
          <w:ilvl w:val="0"/>
          <w:numId w:val="15"/>
        </w:numPr>
        <w:ind w:left="709" w:hanging="283"/>
        <w:jc w:val="both"/>
        <w:rPr>
          <w:lang w:val="ro-MD"/>
        </w:rPr>
      </w:pPr>
      <w:r w:rsidRPr="002A7BC6">
        <w:rPr>
          <w:lang w:val="ro-MD"/>
        </w:rPr>
        <w:t>î</w:t>
      </w:r>
      <w:r w:rsidR="00FA4486" w:rsidRPr="002A7BC6">
        <w:rPr>
          <w:lang w:val="ro-MD"/>
        </w:rPr>
        <w:t>n grupa de conturi 22</w:t>
      </w:r>
      <w:r w:rsidR="00825720" w:rsidRPr="002A7BC6">
        <w:rPr>
          <w:lang w:val="ro-MD"/>
        </w:rPr>
        <w:t>50</w:t>
      </w:r>
      <w:r w:rsidR="00FA4486" w:rsidRPr="002A7BC6">
        <w:rPr>
          <w:lang w:val="ro-MD"/>
        </w:rPr>
        <w:t xml:space="preserve"> „Depozite la vedere </w:t>
      </w:r>
      <w:r w:rsidR="00825720" w:rsidRPr="002A7BC6">
        <w:rPr>
          <w:lang w:val="ro-MD"/>
        </w:rPr>
        <w:t>cu</w:t>
      </w:r>
      <w:r w:rsidR="00FA4486" w:rsidRPr="002A7BC6">
        <w:rPr>
          <w:lang w:val="ro-MD"/>
        </w:rPr>
        <w:t xml:space="preserve"> dobândă ale </w:t>
      </w:r>
      <w:r w:rsidR="002A7BC6" w:rsidRPr="002A7BC6">
        <w:rPr>
          <w:lang w:val="ro-MD"/>
        </w:rPr>
        <w:t>clienților</w:t>
      </w:r>
      <w:r w:rsidR="00FA4486" w:rsidRPr="002A7BC6">
        <w:rPr>
          <w:lang w:val="ro-MD"/>
        </w:rPr>
        <w:t>”, după contul 22</w:t>
      </w:r>
      <w:r w:rsidR="00825720" w:rsidRPr="002A7BC6">
        <w:rPr>
          <w:lang w:val="ro-MD"/>
        </w:rPr>
        <w:t xml:space="preserve">75 </w:t>
      </w:r>
      <w:r w:rsidR="00FA4486" w:rsidRPr="002A7BC6">
        <w:rPr>
          <w:lang w:val="ro-MD"/>
        </w:rPr>
        <w:t xml:space="preserve">se </w:t>
      </w:r>
      <w:r w:rsidR="006757DB" w:rsidRPr="002A7BC6">
        <w:rPr>
          <w:lang w:val="ro-MD"/>
        </w:rPr>
        <w:t>completează</w:t>
      </w:r>
      <w:r w:rsidR="00A44267">
        <w:rPr>
          <w:lang w:val="ro-MD"/>
        </w:rPr>
        <w:t xml:space="preserve"> cu</w:t>
      </w:r>
      <w:r w:rsidR="006757DB" w:rsidRPr="002A7BC6">
        <w:rPr>
          <w:lang w:val="ro-MD"/>
        </w:rPr>
        <w:t xml:space="preserve"> </w:t>
      </w:r>
      <w:r w:rsidR="002A7BC6" w:rsidRPr="002A7BC6">
        <w:rPr>
          <w:lang w:val="ro-MD"/>
        </w:rPr>
        <w:t xml:space="preserve">un cont nou, cu următorul cuprins: </w:t>
      </w:r>
      <w:bookmarkStart w:id="3" w:name="_Hlk149680327"/>
      <w:r w:rsidR="00FA4486" w:rsidRPr="002A7BC6">
        <w:rPr>
          <w:lang w:val="ro-MD"/>
        </w:rPr>
        <w:t>„</w:t>
      </w:r>
      <w:r w:rsidR="00FA4486" w:rsidRPr="002A7BC6">
        <w:rPr>
          <w:b/>
          <w:bCs/>
          <w:lang w:val="ro-MD"/>
        </w:rPr>
        <w:t>22</w:t>
      </w:r>
      <w:r w:rsidR="00825720" w:rsidRPr="002A7BC6">
        <w:rPr>
          <w:b/>
          <w:bCs/>
          <w:lang w:val="ro-MD"/>
        </w:rPr>
        <w:t>76</w:t>
      </w:r>
      <w:r w:rsidR="00FA4486" w:rsidRPr="002A7BC6">
        <w:rPr>
          <w:lang w:val="ro-MD"/>
        </w:rPr>
        <w:t xml:space="preserve"> Conturi curente speciale ale notarilor</w:t>
      </w:r>
      <w:r w:rsidR="00CE6841">
        <w:rPr>
          <w:lang w:val="ro-MD"/>
        </w:rPr>
        <w:t>”</w:t>
      </w:r>
      <w:r w:rsidR="00FA4486">
        <w:rPr>
          <w:lang w:val="ro-MD"/>
        </w:rPr>
        <w:t>;</w:t>
      </w:r>
    </w:p>
    <w:bookmarkEnd w:id="3"/>
    <w:p w14:paraId="6BF3EC0B" w14:textId="0A7CAACE" w:rsidR="00FA4486" w:rsidRDefault="00322917" w:rsidP="00EC58F6">
      <w:pPr>
        <w:pStyle w:val="ListParagraph"/>
        <w:numPr>
          <w:ilvl w:val="0"/>
          <w:numId w:val="15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FA4486">
        <w:rPr>
          <w:lang w:val="ro-MD"/>
        </w:rPr>
        <w:t xml:space="preserve">n grupa de conturi 2790 „Conturi de tranzit și suspendate”, după contul 2798 se </w:t>
      </w:r>
      <w:r w:rsidR="006757DB">
        <w:rPr>
          <w:lang w:val="ro-MD"/>
        </w:rPr>
        <w:t xml:space="preserve">completează </w:t>
      </w:r>
      <w:r w:rsidR="00A44267">
        <w:rPr>
          <w:lang w:val="ro-MD"/>
        </w:rPr>
        <w:t xml:space="preserve">cu </w:t>
      </w:r>
      <w:r w:rsidR="00FA4486">
        <w:rPr>
          <w:lang w:val="ro-MD"/>
        </w:rPr>
        <w:t>un cont nou, cu următorul cuprins: „</w:t>
      </w:r>
      <w:r w:rsidR="00FA4486" w:rsidRPr="007E04C6">
        <w:rPr>
          <w:b/>
          <w:bCs/>
          <w:lang w:val="ro-MD"/>
        </w:rPr>
        <w:t xml:space="preserve">2799 </w:t>
      </w:r>
      <w:r w:rsidR="00FA4486">
        <w:rPr>
          <w:lang w:val="ro-MD"/>
        </w:rPr>
        <w:t xml:space="preserve">Operațiuni </w:t>
      </w:r>
      <w:r w:rsidR="00E73E39">
        <w:rPr>
          <w:lang w:val="ro-MD"/>
        </w:rPr>
        <w:t>prin sistemul de</w:t>
      </w:r>
      <w:r w:rsidR="00FA4486">
        <w:rPr>
          <w:lang w:val="ro-MD"/>
        </w:rPr>
        <w:t xml:space="preserve"> plăți instant”</w:t>
      </w:r>
      <w:r w:rsidR="005945E3">
        <w:rPr>
          <w:lang w:val="ro-MD"/>
        </w:rPr>
        <w:t>.</w:t>
      </w:r>
    </w:p>
    <w:p w14:paraId="07B36114" w14:textId="5D08D4B3" w:rsidR="00FA4486" w:rsidRDefault="00FA4486" w:rsidP="00EC58F6">
      <w:pPr>
        <w:pStyle w:val="ListParagraph"/>
        <w:ind w:left="851" w:hanging="425"/>
        <w:jc w:val="both"/>
        <w:rPr>
          <w:lang w:val="ro-MD"/>
        </w:rPr>
      </w:pPr>
      <w:r w:rsidRPr="00FA4486">
        <w:rPr>
          <w:b/>
          <w:bCs/>
          <w:lang w:val="ro-MD"/>
        </w:rPr>
        <w:t>3</w:t>
      </w:r>
      <w:r w:rsidR="007B4E9C">
        <w:rPr>
          <w:b/>
          <w:bCs/>
          <w:lang w:val="ro-MD"/>
        </w:rPr>
        <w:t>)</w:t>
      </w:r>
      <w:r>
        <w:rPr>
          <w:lang w:val="ro-MD"/>
        </w:rPr>
        <w:t xml:space="preserve"> </w:t>
      </w:r>
      <w:r w:rsidRPr="00FA4486">
        <w:rPr>
          <w:lang w:val="ro-MD"/>
        </w:rPr>
        <w:t xml:space="preserve">La capitolul III </w:t>
      </w:r>
      <w:r>
        <w:rPr>
          <w:lang w:val="ro-MD"/>
        </w:rPr>
        <w:t>„</w:t>
      </w:r>
      <w:r w:rsidRPr="00FA4486">
        <w:rPr>
          <w:lang w:val="ro-MD"/>
        </w:rPr>
        <w:t>Norme metodologice de utilizare a conturilor contabile”:</w:t>
      </w:r>
      <w:r>
        <w:rPr>
          <w:lang w:val="ro-MD"/>
        </w:rPr>
        <w:t xml:space="preserve"> </w:t>
      </w:r>
    </w:p>
    <w:p w14:paraId="400CA4C0" w14:textId="54C0A16A" w:rsidR="00EC58F6" w:rsidRDefault="00322917" w:rsidP="00EC58F6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lastRenderedPageBreak/>
        <w:t>î</w:t>
      </w:r>
      <w:r w:rsidR="000C549A">
        <w:rPr>
          <w:lang w:val="ro-MD"/>
        </w:rPr>
        <w:t>n descrierea contului 1032 „</w:t>
      </w:r>
      <w:r w:rsidR="006B0D4C" w:rsidRPr="006B0D4C">
        <w:rPr>
          <w:lang w:val="ro-MD"/>
        </w:rPr>
        <w:t xml:space="preserve">Contul </w:t>
      </w:r>
      <w:r w:rsidR="006B0D4C">
        <w:rPr>
          <w:lang w:val="ro-MD"/>
        </w:rPr>
        <w:t>„</w:t>
      </w:r>
      <w:r w:rsidR="006B0D4C" w:rsidRPr="006B0D4C">
        <w:rPr>
          <w:lang w:val="ro-MD"/>
        </w:rPr>
        <w:t>Nostro” în bănci</w:t>
      </w:r>
      <w:r w:rsidR="006B0D4C">
        <w:rPr>
          <w:lang w:val="ro-MD"/>
        </w:rPr>
        <w:t xml:space="preserve">” </w:t>
      </w:r>
      <w:r w:rsidR="006B0D4C" w:rsidRPr="006B0D4C">
        <w:rPr>
          <w:lang w:val="ro-MD"/>
        </w:rPr>
        <w:t>cuvintele</w:t>
      </w:r>
      <w:r w:rsidR="006B0D4C">
        <w:rPr>
          <w:lang w:val="ro-MD"/>
        </w:rPr>
        <w:t xml:space="preserve"> „la </w:t>
      </w:r>
      <w:r w:rsidR="006B0D4C" w:rsidRPr="006B0D4C">
        <w:rPr>
          <w:lang w:val="ro-MD"/>
        </w:rPr>
        <w:t>băncile licenţiate din Republica Moldova şi străine</w:t>
      </w:r>
      <w:r w:rsidR="006B0D4C">
        <w:rPr>
          <w:lang w:val="ro-MD"/>
        </w:rPr>
        <w:t>” și cuvintele „</w:t>
      </w:r>
      <w:r w:rsidR="000A5C3F">
        <w:rPr>
          <w:lang w:val="ro-MD"/>
        </w:rPr>
        <w:t xml:space="preserve">la </w:t>
      </w:r>
      <w:r w:rsidR="006B0D4C" w:rsidRPr="006B0D4C">
        <w:rPr>
          <w:lang w:val="ro-MD"/>
        </w:rPr>
        <w:t>băncile licenţiate şi străine</w:t>
      </w:r>
      <w:r w:rsidR="006B0D4C">
        <w:rPr>
          <w:lang w:val="ro-MD"/>
        </w:rPr>
        <w:t>”</w:t>
      </w:r>
      <w:r w:rsidR="000A5C3F">
        <w:rPr>
          <w:lang w:val="ro-MD"/>
        </w:rPr>
        <w:t xml:space="preserve"> și „în băncile licențiate și străine”</w:t>
      </w:r>
      <w:r w:rsidR="006B0D4C">
        <w:rPr>
          <w:lang w:val="ro-MD"/>
        </w:rPr>
        <w:t xml:space="preserve"> se substituie cu cuvintele „în băncile din Republica Moldova și în băncile din alte state”;</w:t>
      </w:r>
    </w:p>
    <w:p w14:paraId="079FFDAF" w14:textId="1D3D5A1A" w:rsidR="001C0AEF" w:rsidRDefault="00322917" w:rsidP="00EC58F6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1C0AEF" w:rsidRPr="00FA4486">
        <w:rPr>
          <w:lang w:val="ro-MD"/>
        </w:rPr>
        <w:t xml:space="preserve">n grupa de conturi 1790 „Conturi de tranzit și suspendate”, după contul 1797 se </w:t>
      </w:r>
      <w:r w:rsidR="007B4E9C">
        <w:rPr>
          <w:lang w:val="ro-MD"/>
        </w:rPr>
        <w:t>completează</w:t>
      </w:r>
      <w:r w:rsidR="001C0AEF" w:rsidRPr="00FA4486">
        <w:rPr>
          <w:lang w:val="ro-MD"/>
        </w:rPr>
        <w:t xml:space="preserve"> </w:t>
      </w:r>
      <w:r w:rsidR="001E2612">
        <w:rPr>
          <w:lang w:val="ro-MD"/>
        </w:rPr>
        <w:t xml:space="preserve">cu </w:t>
      </w:r>
      <w:r w:rsidR="001C0AEF" w:rsidRPr="00FA4486">
        <w:rPr>
          <w:lang w:val="ro-MD"/>
        </w:rPr>
        <w:t>un cont nou, cu următorul cuprins: „</w:t>
      </w:r>
      <w:r w:rsidR="001C0AEF" w:rsidRPr="007E04C6">
        <w:rPr>
          <w:b/>
          <w:bCs/>
          <w:lang w:val="ro-MD"/>
        </w:rPr>
        <w:t>1799</w:t>
      </w:r>
      <w:r w:rsidR="001C0AEF" w:rsidRPr="00FA4486">
        <w:rPr>
          <w:lang w:val="ro-MD"/>
        </w:rPr>
        <w:t xml:space="preserve"> Operațiuni </w:t>
      </w:r>
      <w:bookmarkStart w:id="4" w:name="_Hlk149473688"/>
      <w:r w:rsidR="004E116A">
        <w:rPr>
          <w:lang w:val="ro-MD"/>
        </w:rPr>
        <w:t>prin sistemul de</w:t>
      </w:r>
      <w:r w:rsidR="004E116A" w:rsidRPr="00FA4486">
        <w:rPr>
          <w:lang w:val="ro-MD"/>
        </w:rPr>
        <w:t xml:space="preserve"> </w:t>
      </w:r>
      <w:bookmarkEnd w:id="4"/>
      <w:r w:rsidR="001C0AEF" w:rsidRPr="00FA4486">
        <w:rPr>
          <w:lang w:val="ro-MD"/>
        </w:rPr>
        <w:t>plăți instant”</w:t>
      </w:r>
      <w:r w:rsidR="001C0AEF" w:rsidRPr="001C0AEF">
        <w:rPr>
          <w:lang w:val="ro-MD"/>
        </w:rPr>
        <w:t xml:space="preserve">, după descrierea contului </w:t>
      </w:r>
      <w:r w:rsidR="001C0AEF">
        <w:rPr>
          <w:lang w:val="ro-MD"/>
        </w:rPr>
        <w:t>1797</w:t>
      </w:r>
      <w:r w:rsidR="001C0AEF" w:rsidRPr="001C0AEF">
        <w:rPr>
          <w:lang w:val="ro-MD"/>
        </w:rPr>
        <w:t xml:space="preserve"> se </w:t>
      </w:r>
      <w:r w:rsidR="007B4E9C">
        <w:rPr>
          <w:lang w:val="ro-MD"/>
        </w:rPr>
        <w:t>completează cu</w:t>
      </w:r>
      <w:r w:rsidR="007B4E9C" w:rsidRPr="001C0AEF">
        <w:rPr>
          <w:lang w:val="ro-MD"/>
        </w:rPr>
        <w:t xml:space="preserve"> </w:t>
      </w:r>
      <w:r w:rsidR="001C0AEF" w:rsidRPr="001C0AEF">
        <w:rPr>
          <w:lang w:val="ro-MD"/>
        </w:rPr>
        <w:t xml:space="preserve">descrierea contului </w:t>
      </w:r>
      <w:r w:rsidR="001C0AEF">
        <w:rPr>
          <w:lang w:val="ro-MD"/>
        </w:rPr>
        <w:t>1799</w:t>
      </w:r>
      <w:r w:rsidR="001C0AEF" w:rsidRPr="001C0AEF">
        <w:rPr>
          <w:lang w:val="ro-MD"/>
        </w:rPr>
        <w:t>, cu următorul cuprins</w:t>
      </w:r>
      <w:r w:rsidR="001C0AEF">
        <w:rPr>
          <w:lang w:val="ro-MD"/>
        </w:rPr>
        <w:t>:</w:t>
      </w:r>
    </w:p>
    <w:p w14:paraId="1FD3C5A5" w14:textId="51DA3E10" w:rsidR="001C0AEF" w:rsidRPr="001C0AEF" w:rsidRDefault="001C0AEF" w:rsidP="00EC58F6">
      <w:pPr>
        <w:pStyle w:val="ListParagraph"/>
        <w:tabs>
          <w:tab w:val="left" w:pos="567"/>
        </w:tabs>
        <w:ind w:left="709"/>
        <w:jc w:val="both"/>
        <w:rPr>
          <w:lang w:val="ro-MD"/>
        </w:rPr>
      </w:pPr>
      <w:r>
        <w:rPr>
          <w:lang w:val="ro-MD"/>
        </w:rPr>
        <w:t>„</w:t>
      </w:r>
      <w:r w:rsidRPr="001C0AEF">
        <w:rPr>
          <w:lang w:val="ro-MD"/>
        </w:rPr>
        <w:t xml:space="preserve">Contul </w:t>
      </w:r>
      <w:r w:rsidRPr="001C0AEF">
        <w:rPr>
          <w:b/>
          <w:bCs/>
          <w:lang w:val="ro-MD"/>
        </w:rPr>
        <w:t xml:space="preserve">1799 </w:t>
      </w:r>
      <w:r w:rsidRPr="001C0AEF">
        <w:rPr>
          <w:lang w:val="ro-MD"/>
        </w:rPr>
        <w:t xml:space="preserve">este destinat pentru evidenţa creanţelor băncii aferente operaţiunilor </w:t>
      </w:r>
      <w:r w:rsidR="004E116A" w:rsidRPr="004E116A">
        <w:rPr>
          <w:lang w:val="ro-MD"/>
        </w:rPr>
        <w:t>prin sistemul de</w:t>
      </w:r>
      <w:r w:rsidRPr="001C0AEF">
        <w:rPr>
          <w:lang w:val="ro-MD"/>
        </w:rPr>
        <w:t xml:space="preserve"> </w:t>
      </w:r>
      <w:r>
        <w:rPr>
          <w:lang w:val="ro-MD"/>
        </w:rPr>
        <w:t>plăți instant</w:t>
      </w:r>
      <w:r w:rsidRPr="001C0AEF">
        <w:rPr>
          <w:lang w:val="ro-MD"/>
        </w:rPr>
        <w:t>.</w:t>
      </w:r>
    </w:p>
    <w:p w14:paraId="1A51FEB8" w14:textId="63A4639B" w:rsidR="001C0AEF" w:rsidRPr="001C0AEF" w:rsidRDefault="001C0AEF" w:rsidP="00EC58F6">
      <w:pPr>
        <w:pStyle w:val="ListParagraph"/>
        <w:tabs>
          <w:tab w:val="left" w:pos="567"/>
        </w:tabs>
        <w:ind w:left="709"/>
        <w:jc w:val="both"/>
        <w:rPr>
          <w:lang w:val="ro-MD"/>
        </w:rPr>
      </w:pPr>
      <w:r w:rsidRPr="001C0AEF">
        <w:rPr>
          <w:lang w:val="ro-MD"/>
        </w:rPr>
        <w:t xml:space="preserve">În debitul contului se înregistrează sumele creanţelor băncii aferente operaţiunilor </w:t>
      </w:r>
      <w:r w:rsidR="004E116A" w:rsidRPr="004E116A">
        <w:rPr>
          <w:lang w:val="ro-MD"/>
        </w:rPr>
        <w:t>prin sistemul de</w:t>
      </w:r>
      <w:r w:rsidRPr="001C0AEF">
        <w:rPr>
          <w:lang w:val="ro-MD"/>
        </w:rPr>
        <w:t xml:space="preserve"> </w:t>
      </w:r>
      <w:r>
        <w:rPr>
          <w:lang w:val="ro-MD"/>
        </w:rPr>
        <w:t>plăți instant.</w:t>
      </w:r>
    </w:p>
    <w:p w14:paraId="56A5A006" w14:textId="5796DEEC" w:rsidR="001C0AEF" w:rsidRPr="001C0AEF" w:rsidRDefault="001C0AEF" w:rsidP="00EC58F6">
      <w:pPr>
        <w:pStyle w:val="ListParagraph"/>
        <w:tabs>
          <w:tab w:val="left" w:pos="567"/>
        </w:tabs>
        <w:ind w:left="709"/>
        <w:jc w:val="both"/>
        <w:rPr>
          <w:lang w:val="ro-MD"/>
        </w:rPr>
      </w:pPr>
      <w:r w:rsidRPr="001C0AEF">
        <w:rPr>
          <w:lang w:val="ro-MD"/>
        </w:rPr>
        <w:t xml:space="preserve">În creditul contului se înregistrează achitarea/derecunoaşterea creanţelor aferente operaţiunilor </w:t>
      </w:r>
      <w:r w:rsidR="004E116A" w:rsidRPr="004E116A">
        <w:rPr>
          <w:lang w:val="ro-MD"/>
        </w:rPr>
        <w:t>prin sistemul de</w:t>
      </w:r>
      <w:r w:rsidRPr="001C0AEF">
        <w:rPr>
          <w:lang w:val="ro-MD"/>
        </w:rPr>
        <w:t xml:space="preserve"> </w:t>
      </w:r>
      <w:r>
        <w:rPr>
          <w:lang w:val="ro-MD"/>
        </w:rPr>
        <w:t>plăți instant</w:t>
      </w:r>
      <w:r w:rsidRPr="001C0AEF">
        <w:rPr>
          <w:lang w:val="ro-MD"/>
        </w:rPr>
        <w:t>.</w:t>
      </w:r>
    </w:p>
    <w:p w14:paraId="2AF8F573" w14:textId="6FCEA3AE" w:rsidR="001C0AEF" w:rsidRDefault="001C0AEF" w:rsidP="00EC58F6">
      <w:pPr>
        <w:pStyle w:val="ListParagraph"/>
        <w:tabs>
          <w:tab w:val="left" w:pos="567"/>
        </w:tabs>
        <w:ind w:left="709"/>
        <w:jc w:val="both"/>
        <w:rPr>
          <w:lang w:val="ro-MD"/>
        </w:rPr>
      </w:pPr>
      <w:r w:rsidRPr="001C0AEF">
        <w:rPr>
          <w:lang w:val="ro-MD"/>
        </w:rPr>
        <w:t xml:space="preserve">Soldul contului este debitor şi reprezintă suma creanţelor aferente operaţiunilor </w:t>
      </w:r>
      <w:r w:rsidR="004E116A" w:rsidRPr="004E116A">
        <w:rPr>
          <w:lang w:val="ro-MD"/>
        </w:rPr>
        <w:t>prin sistemul de</w:t>
      </w:r>
      <w:r w:rsidRPr="001C0AEF">
        <w:rPr>
          <w:lang w:val="ro-MD"/>
        </w:rPr>
        <w:t xml:space="preserve"> </w:t>
      </w:r>
      <w:r>
        <w:rPr>
          <w:lang w:val="ro-MD"/>
        </w:rPr>
        <w:t>plăți instant</w:t>
      </w:r>
      <w:r w:rsidRPr="001C0AEF">
        <w:rPr>
          <w:lang w:val="ro-MD"/>
        </w:rPr>
        <w:t>.</w:t>
      </w:r>
      <w:r>
        <w:rPr>
          <w:lang w:val="ro-MD"/>
        </w:rPr>
        <w:t>”</w:t>
      </w:r>
      <w:r w:rsidR="00EC58F6">
        <w:rPr>
          <w:lang w:val="ro-MD"/>
        </w:rPr>
        <w:t>;</w:t>
      </w:r>
    </w:p>
    <w:p w14:paraId="240AADA7" w14:textId="7B0A04AE" w:rsidR="009D3E48" w:rsidRPr="009D3E48" w:rsidRDefault="009D3E48" w:rsidP="00876E76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t>în descrierea grupei 2210 „</w:t>
      </w:r>
      <w:r w:rsidRPr="009D3E48">
        <w:rPr>
          <w:lang w:val="ro-MD"/>
        </w:rPr>
        <w:t>Depozite pe termen ale Companiei Naţionale de Asigurări în Medicină/ Casei Naţionale de Asigurări Sociale</w:t>
      </w:r>
      <w:r>
        <w:rPr>
          <w:lang w:val="ro-MD"/>
        </w:rPr>
        <w:t xml:space="preserve">” a </w:t>
      </w:r>
      <w:r w:rsidRPr="00BB28FC">
        <w:rPr>
          <w:lang w:val="ro-MD"/>
        </w:rPr>
        <w:t>doua propoziție se exclude;</w:t>
      </w:r>
    </w:p>
    <w:p w14:paraId="19E3CD69" w14:textId="431E87DC" w:rsidR="006B0D4C" w:rsidRDefault="00322917" w:rsidP="00EC58F6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2B76CA" w:rsidRPr="00D865A4">
        <w:rPr>
          <w:lang w:val="ro-MD"/>
        </w:rPr>
        <w:t>n grupa de conturi 22</w:t>
      </w:r>
      <w:r w:rsidR="002B76CA">
        <w:rPr>
          <w:lang w:val="ro-MD"/>
        </w:rPr>
        <w:t>20</w:t>
      </w:r>
      <w:r w:rsidR="002B76CA" w:rsidRPr="00D865A4">
        <w:rPr>
          <w:lang w:val="ro-MD"/>
        </w:rPr>
        <w:t xml:space="preserve"> </w:t>
      </w:r>
      <w:r w:rsidR="002B76CA">
        <w:rPr>
          <w:lang w:val="ro-MD"/>
        </w:rPr>
        <w:t>„</w:t>
      </w:r>
      <w:r w:rsidR="002B76CA" w:rsidRPr="00D865A4">
        <w:rPr>
          <w:lang w:val="ro-MD"/>
        </w:rPr>
        <w:t xml:space="preserve">Depozite la vedere </w:t>
      </w:r>
      <w:r w:rsidR="002B76CA">
        <w:rPr>
          <w:lang w:val="ro-MD"/>
        </w:rPr>
        <w:t>fără</w:t>
      </w:r>
      <w:r w:rsidR="002B76CA" w:rsidRPr="00D865A4">
        <w:rPr>
          <w:lang w:val="ro-MD"/>
        </w:rPr>
        <w:t xml:space="preserve"> dobândă ale clienţilor”</w:t>
      </w:r>
      <w:r w:rsidR="006B0D4C">
        <w:rPr>
          <w:lang w:val="ro-MD"/>
        </w:rPr>
        <w:t>:</w:t>
      </w:r>
    </w:p>
    <w:p w14:paraId="677DFF7C" w14:textId="4CAE0146" w:rsidR="006B0D4C" w:rsidRDefault="002B76CA" w:rsidP="00AC1C1B">
      <w:pPr>
        <w:pStyle w:val="ListParagraph"/>
        <w:ind w:left="709"/>
        <w:jc w:val="both"/>
        <w:rPr>
          <w:lang w:val="ro-MD"/>
        </w:rPr>
      </w:pPr>
      <w:r w:rsidRPr="00D865A4">
        <w:rPr>
          <w:lang w:val="ro-MD"/>
        </w:rPr>
        <w:t>după contul 22</w:t>
      </w:r>
      <w:r>
        <w:rPr>
          <w:lang w:val="ro-MD"/>
        </w:rPr>
        <w:t xml:space="preserve">39 </w:t>
      </w:r>
      <w:bookmarkStart w:id="5" w:name="_Hlk149680419"/>
      <w:r w:rsidRPr="00D865A4">
        <w:rPr>
          <w:lang w:val="ro-MD"/>
        </w:rPr>
        <w:t xml:space="preserve">se </w:t>
      </w:r>
      <w:r w:rsidR="007B4E9C">
        <w:rPr>
          <w:lang w:val="ro-MD"/>
        </w:rPr>
        <w:t>completează</w:t>
      </w:r>
      <w:r w:rsidR="007B4E9C" w:rsidRPr="00D865A4">
        <w:rPr>
          <w:lang w:val="ro-MD"/>
        </w:rPr>
        <w:t xml:space="preserve"> </w:t>
      </w:r>
      <w:r w:rsidRPr="00D865A4">
        <w:rPr>
          <w:lang w:val="ro-MD"/>
        </w:rPr>
        <w:t xml:space="preserve">cu </w:t>
      </w:r>
      <w:r w:rsidR="006B0D4C">
        <w:rPr>
          <w:lang w:val="ro-MD"/>
        </w:rPr>
        <w:t>următoarele conturi</w:t>
      </w:r>
      <w:r w:rsidRPr="00D865A4">
        <w:rPr>
          <w:lang w:val="ro-MD"/>
        </w:rPr>
        <w:t xml:space="preserve">: </w:t>
      </w:r>
    </w:p>
    <w:bookmarkEnd w:id="5"/>
    <w:p w14:paraId="40AD2348" w14:textId="60560FAC" w:rsidR="006B0D4C" w:rsidRDefault="002B76CA" w:rsidP="00AC1C1B">
      <w:pPr>
        <w:ind w:left="709"/>
        <w:jc w:val="both"/>
        <w:rPr>
          <w:lang w:val="ro-MD"/>
        </w:rPr>
      </w:pPr>
      <w:r w:rsidRPr="006B0D4C">
        <w:rPr>
          <w:lang w:val="ro-MD"/>
        </w:rPr>
        <w:t>„</w:t>
      </w:r>
      <w:r w:rsidRPr="006B0D4C">
        <w:rPr>
          <w:b/>
          <w:bCs/>
          <w:lang w:val="ro-MD"/>
        </w:rPr>
        <w:t>2241</w:t>
      </w:r>
      <w:r w:rsidRPr="006B0D4C">
        <w:rPr>
          <w:lang w:val="ro-MD"/>
        </w:rPr>
        <w:t xml:space="preserve"> Conturi curente speciale ale clienților </w:t>
      </w:r>
      <w:r w:rsidR="006B0D4C">
        <w:rPr>
          <w:lang w:val="ro-MD"/>
        </w:rPr>
        <w:t xml:space="preserve">persoane </w:t>
      </w:r>
      <w:r w:rsidR="00CE6841">
        <w:rPr>
          <w:lang w:val="ro-MD"/>
        </w:rPr>
        <w:t xml:space="preserve">juridice </w:t>
      </w:r>
      <w:r w:rsidRPr="006B0D4C">
        <w:rPr>
          <w:lang w:val="ro-MD"/>
        </w:rPr>
        <w:t>aferent</w:t>
      </w:r>
      <w:r w:rsidR="00A8075F">
        <w:rPr>
          <w:lang w:val="ro-MD"/>
        </w:rPr>
        <w:t>e</w:t>
      </w:r>
      <w:r w:rsidRPr="006B0D4C">
        <w:rPr>
          <w:lang w:val="ro-MD"/>
        </w:rPr>
        <w:t xml:space="preserve"> tranzacțiilor privind activele virtuale</w:t>
      </w:r>
    </w:p>
    <w:p w14:paraId="0DA86D37" w14:textId="06EFCEF1" w:rsidR="006B0D4C" w:rsidRDefault="006B0D4C" w:rsidP="00AC1C1B">
      <w:pPr>
        <w:ind w:left="709"/>
        <w:jc w:val="both"/>
        <w:rPr>
          <w:lang w:val="ro-MD"/>
        </w:rPr>
      </w:pPr>
      <w:r w:rsidRPr="00AC1C1B">
        <w:rPr>
          <w:b/>
          <w:bCs/>
          <w:lang w:val="ro-MD"/>
        </w:rPr>
        <w:t>2242</w:t>
      </w:r>
      <w:r>
        <w:rPr>
          <w:lang w:val="ro-MD"/>
        </w:rPr>
        <w:t xml:space="preserve"> </w:t>
      </w:r>
      <w:r w:rsidRPr="006B0D4C">
        <w:rPr>
          <w:lang w:val="ro-MD"/>
        </w:rPr>
        <w:t xml:space="preserve">Conturi curente speciale ale clienților </w:t>
      </w:r>
      <w:r>
        <w:rPr>
          <w:lang w:val="ro-MD"/>
        </w:rPr>
        <w:t xml:space="preserve">persoane </w:t>
      </w:r>
      <w:r w:rsidR="00CE6841">
        <w:rPr>
          <w:lang w:val="ro-MD"/>
        </w:rPr>
        <w:t xml:space="preserve">fizice </w:t>
      </w:r>
      <w:r w:rsidRPr="006B0D4C">
        <w:rPr>
          <w:lang w:val="ro-MD"/>
        </w:rPr>
        <w:t>aferent</w:t>
      </w:r>
      <w:r w:rsidR="00A8075F">
        <w:rPr>
          <w:lang w:val="ro-MD"/>
        </w:rPr>
        <w:t>e</w:t>
      </w:r>
      <w:r w:rsidRPr="006B0D4C">
        <w:rPr>
          <w:lang w:val="ro-MD"/>
        </w:rPr>
        <w:t xml:space="preserve"> tranzacțiilor privind activele virtuale</w:t>
      </w:r>
      <w:r w:rsidR="002B76CA" w:rsidRPr="006B0D4C">
        <w:rPr>
          <w:lang w:val="ro-MD"/>
        </w:rPr>
        <w:t>”</w:t>
      </w:r>
      <w:r>
        <w:rPr>
          <w:lang w:val="ro-MD"/>
        </w:rPr>
        <w:t>;</w:t>
      </w:r>
    </w:p>
    <w:p w14:paraId="02FEE45E" w14:textId="7605767B" w:rsidR="002B76CA" w:rsidRPr="006B0D4C" w:rsidRDefault="002B76CA" w:rsidP="00AC1C1B">
      <w:pPr>
        <w:pStyle w:val="ListParagraph"/>
        <w:tabs>
          <w:tab w:val="left" w:pos="851"/>
        </w:tabs>
        <w:ind w:left="709"/>
        <w:jc w:val="both"/>
        <w:rPr>
          <w:lang w:val="ro-MD"/>
        </w:rPr>
      </w:pPr>
      <w:r w:rsidRPr="006B0D4C">
        <w:rPr>
          <w:lang w:val="ro-MD"/>
        </w:rPr>
        <w:t xml:space="preserve">după descrierea contului 2239 </w:t>
      </w:r>
      <w:bookmarkStart w:id="6" w:name="_Hlk149680462"/>
      <w:r w:rsidRPr="006B0D4C">
        <w:rPr>
          <w:lang w:val="ro-MD"/>
        </w:rPr>
        <w:t xml:space="preserve">se </w:t>
      </w:r>
      <w:r w:rsidR="007B4E9C" w:rsidRPr="006B0D4C">
        <w:rPr>
          <w:lang w:val="ro-MD"/>
        </w:rPr>
        <w:t xml:space="preserve">completează </w:t>
      </w:r>
      <w:r w:rsidRPr="006B0D4C">
        <w:rPr>
          <w:lang w:val="ro-MD"/>
        </w:rPr>
        <w:t xml:space="preserve">descrierea </w:t>
      </w:r>
      <w:r w:rsidR="006B0D4C">
        <w:rPr>
          <w:lang w:val="ro-MD"/>
        </w:rPr>
        <w:t>următoarelor conturi</w:t>
      </w:r>
      <w:r w:rsidRPr="006B0D4C">
        <w:rPr>
          <w:lang w:val="ro-MD"/>
        </w:rPr>
        <w:t>:</w:t>
      </w:r>
    </w:p>
    <w:bookmarkEnd w:id="6"/>
    <w:p w14:paraId="05EF36BF" w14:textId="738C0C01" w:rsidR="002B76CA" w:rsidRPr="002B76CA" w:rsidRDefault="006B0D4C" w:rsidP="00EC58F6">
      <w:pPr>
        <w:pStyle w:val="ListParagraph"/>
        <w:ind w:left="709"/>
        <w:jc w:val="both"/>
        <w:rPr>
          <w:lang w:val="ro-MD"/>
        </w:rPr>
      </w:pPr>
      <w:r>
        <w:rPr>
          <w:lang w:val="ro-MD"/>
        </w:rPr>
        <w:t>„</w:t>
      </w:r>
      <w:r w:rsidR="002B76CA" w:rsidRPr="002B76CA">
        <w:rPr>
          <w:lang w:val="ro-MD"/>
        </w:rPr>
        <w:t>Contul</w:t>
      </w:r>
      <w:r w:rsidR="002B76CA" w:rsidRPr="002B76CA">
        <w:rPr>
          <w:b/>
          <w:bCs/>
          <w:lang w:val="ro-MD"/>
        </w:rPr>
        <w:t xml:space="preserve"> 2241</w:t>
      </w:r>
      <w:r w:rsidR="002B76CA" w:rsidRPr="002B76CA">
        <w:rPr>
          <w:lang w:val="ro-MD"/>
        </w:rPr>
        <w:t xml:space="preserve"> este destinat pentru evidenţa tranzacțiilor sau relaţi</w:t>
      </w:r>
      <w:r w:rsidR="00D534BD">
        <w:rPr>
          <w:lang w:val="ro-MD"/>
        </w:rPr>
        <w:t>ilor</w:t>
      </w:r>
      <w:r w:rsidR="002B76CA" w:rsidRPr="002B76CA">
        <w:rPr>
          <w:lang w:val="ro-MD"/>
        </w:rPr>
        <w:t xml:space="preserve"> de afaceri cu clienţii rezidenţi </w:t>
      </w:r>
      <w:r>
        <w:rPr>
          <w:lang w:val="ro-MD"/>
        </w:rPr>
        <w:t xml:space="preserve">persoane </w:t>
      </w:r>
      <w:r w:rsidR="00B37525">
        <w:rPr>
          <w:lang w:val="ro-MD"/>
        </w:rPr>
        <w:t>juridice</w:t>
      </w:r>
      <w:r>
        <w:rPr>
          <w:lang w:val="ro-MD"/>
        </w:rPr>
        <w:t xml:space="preserve"> </w:t>
      </w:r>
      <w:r w:rsidR="002B76CA" w:rsidRPr="002B76CA">
        <w:rPr>
          <w:lang w:val="ro-MD"/>
        </w:rPr>
        <w:t xml:space="preserve">care efectuează tranzacţii în/din adresa prestatorilor de servicii privind activele virtuale autorizați în alte state, conform prevederilor art.8 alin. </w:t>
      </w:r>
      <w:r w:rsidR="002B76CA">
        <w:rPr>
          <w:lang w:val="ro-MD"/>
        </w:rPr>
        <w:t>(</w:t>
      </w:r>
      <w:r w:rsidR="002B76CA" w:rsidRPr="002B76CA">
        <w:rPr>
          <w:lang w:val="ro-MD"/>
        </w:rPr>
        <w:t>5</w:t>
      </w:r>
      <w:r w:rsidR="002B76CA" w:rsidRPr="002B76CA">
        <w:rPr>
          <w:vertAlign w:val="superscript"/>
          <w:lang w:val="ro-MD"/>
        </w:rPr>
        <w:t xml:space="preserve">1 </w:t>
      </w:r>
      <w:r w:rsidR="002B76CA">
        <w:rPr>
          <w:lang w:val="ro-MD"/>
        </w:rPr>
        <w:t xml:space="preserve">) </w:t>
      </w:r>
      <w:r w:rsidR="002B76CA" w:rsidRPr="002B76CA">
        <w:rPr>
          <w:lang w:val="ro-MD"/>
        </w:rPr>
        <w:t xml:space="preserve">din Legea nr.308/2017 cu privire la prevenirea și combaterea spălării banilor și finanțării terorismului.  </w:t>
      </w:r>
    </w:p>
    <w:p w14:paraId="4513FD3A" w14:textId="01444434" w:rsidR="002B76CA" w:rsidRPr="002B76CA" w:rsidRDefault="002B76CA" w:rsidP="00EC58F6">
      <w:pPr>
        <w:pStyle w:val="ListParagraph"/>
        <w:ind w:left="709"/>
        <w:jc w:val="both"/>
        <w:rPr>
          <w:lang w:val="ro-MD"/>
        </w:rPr>
      </w:pPr>
      <w:r w:rsidRPr="002B76CA">
        <w:rPr>
          <w:lang w:val="ro-MD"/>
        </w:rPr>
        <w:t xml:space="preserve">În creditul contului se înregistrează depunerile/transferurile </w:t>
      </w:r>
      <w:r w:rsidR="001464A7">
        <w:rPr>
          <w:lang w:val="ro-MD"/>
        </w:rPr>
        <w:t xml:space="preserve">în conturile clienților rezidenți persoane </w:t>
      </w:r>
      <w:r w:rsidR="00B37525">
        <w:rPr>
          <w:lang w:val="ro-MD"/>
        </w:rPr>
        <w:t>juridice</w:t>
      </w:r>
      <w:r w:rsidR="001464A7">
        <w:rPr>
          <w:lang w:val="ro-MD"/>
        </w:rPr>
        <w:t xml:space="preserve"> ale </w:t>
      </w:r>
      <w:r w:rsidRPr="002B76CA">
        <w:rPr>
          <w:lang w:val="ro-MD"/>
        </w:rPr>
        <w:t>mijloacelor băneşti aferente tranzacţii</w:t>
      </w:r>
      <w:r>
        <w:rPr>
          <w:lang w:val="ro-MD"/>
        </w:rPr>
        <w:t>lor</w:t>
      </w:r>
      <w:r w:rsidRPr="002B76CA">
        <w:rPr>
          <w:lang w:val="ro-MD"/>
        </w:rPr>
        <w:t xml:space="preserve"> </w:t>
      </w:r>
      <w:r w:rsidR="001464A7">
        <w:rPr>
          <w:lang w:val="ro-MD"/>
        </w:rPr>
        <w:t>din</w:t>
      </w:r>
      <w:r w:rsidR="001464A7" w:rsidRPr="002B76CA">
        <w:rPr>
          <w:lang w:val="ro-MD"/>
        </w:rPr>
        <w:t xml:space="preserve"> </w:t>
      </w:r>
      <w:r w:rsidRPr="002B76CA">
        <w:rPr>
          <w:lang w:val="ro-MD"/>
        </w:rPr>
        <w:t>adresa prestatorilor de servicii privind activele virtuale autorizați în alte state.</w:t>
      </w:r>
    </w:p>
    <w:p w14:paraId="2AE66A9F" w14:textId="2DE2C7FA" w:rsidR="002B76CA" w:rsidRPr="002B76CA" w:rsidRDefault="002B76CA" w:rsidP="00EC58F6">
      <w:pPr>
        <w:pStyle w:val="ListParagraph"/>
        <w:ind w:left="709"/>
        <w:jc w:val="both"/>
        <w:rPr>
          <w:lang w:val="ro-MD"/>
        </w:rPr>
      </w:pPr>
      <w:r w:rsidRPr="002B76CA">
        <w:rPr>
          <w:lang w:val="ro-MD"/>
        </w:rPr>
        <w:t>În debitul contului se înregistrează transferurile din cont</w:t>
      </w:r>
      <w:r w:rsidR="001464A7">
        <w:rPr>
          <w:lang w:val="ro-MD"/>
        </w:rPr>
        <w:t xml:space="preserve">urile clienților rezidenți persoane </w:t>
      </w:r>
      <w:r w:rsidR="00B37525">
        <w:rPr>
          <w:lang w:val="ro-MD"/>
        </w:rPr>
        <w:t>juridice</w:t>
      </w:r>
      <w:r w:rsidRPr="002B76CA">
        <w:rPr>
          <w:lang w:val="ro-MD"/>
        </w:rPr>
        <w:t xml:space="preserve"> ale mijloacelor băneşti aferente tranzacţii</w:t>
      </w:r>
      <w:r>
        <w:rPr>
          <w:lang w:val="ro-MD"/>
        </w:rPr>
        <w:t>lor</w:t>
      </w:r>
      <w:r w:rsidRPr="002B76CA">
        <w:rPr>
          <w:lang w:val="ro-MD"/>
        </w:rPr>
        <w:t xml:space="preserve"> </w:t>
      </w:r>
      <w:r w:rsidR="001464A7">
        <w:rPr>
          <w:lang w:val="ro-MD"/>
        </w:rPr>
        <w:t xml:space="preserve">în </w:t>
      </w:r>
      <w:r w:rsidRPr="002B76CA">
        <w:rPr>
          <w:lang w:val="ro-MD"/>
        </w:rPr>
        <w:t>adresa prestatorilor de servicii privind activele virtuale autorizați în alte state.</w:t>
      </w:r>
    </w:p>
    <w:p w14:paraId="74AAEBE7" w14:textId="77777777" w:rsidR="006B0D4C" w:rsidRDefault="002B76CA" w:rsidP="00EC58F6">
      <w:pPr>
        <w:pStyle w:val="ListParagraph"/>
        <w:ind w:left="709"/>
        <w:jc w:val="both"/>
        <w:rPr>
          <w:lang w:val="ro-MD"/>
        </w:rPr>
      </w:pPr>
      <w:r w:rsidRPr="002B76CA">
        <w:rPr>
          <w:lang w:val="ro-MD"/>
        </w:rPr>
        <w:t>Soldul contului este creditor şi reprezintă mijloacele băneşti care nu sunt încă transferate în adresa prestatorilor de servicii privind activele virtuale autorizați în alte state.</w:t>
      </w:r>
    </w:p>
    <w:p w14:paraId="04E24E21" w14:textId="40F3D642" w:rsidR="006B0D4C" w:rsidRPr="006B0D4C" w:rsidRDefault="006B0D4C" w:rsidP="006B0D4C">
      <w:pPr>
        <w:pStyle w:val="ListParagraph"/>
        <w:ind w:left="709"/>
        <w:jc w:val="both"/>
        <w:rPr>
          <w:lang w:val="ro-MD"/>
        </w:rPr>
      </w:pPr>
      <w:r w:rsidRPr="006B0D4C">
        <w:rPr>
          <w:lang w:val="ro-MD"/>
        </w:rPr>
        <w:t xml:space="preserve">Contul </w:t>
      </w:r>
      <w:r w:rsidRPr="00AC1C1B">
        <w:rPr>
          <w:b/>
          <w:bCs/>
          <w:lang w:val="ro-MD"/>
        </w:rPr>
        <w:t>2242</w:t>
      </w:r>
      <w:r w:rsidRPr="006B0D4C">
        <w:rPr>
          <w:lang w:val="ro-MD"/>
        </w:rPr>
        <w:t xml:space="preserve"> este destinat pentru evidenţa tranzacțiilor </w:t>
      </w:r>
      <w:r w:rsidR="00D534BD">
        <w:rPr>
          <w:lang w:val="ro-MD"/>
        </w:rPr>
        <w:t xml:space="preserve">sau relațiilor </w:t>
      </w:r>
      <w:r w:rsidRPr="006B0D4C">
        <w:rPr>
          <w:lang w:val="ro-MD"/>
        </w:rPr>
        <w:t xml:space="preserve">de afaceri cu clienţii rezidenţi persoane </w:t>
      </w:r>
      <w:r w:rsidR="00B37525">
        <w:rPr>
          <w:lang w:val="ro-MD"/>
        </w:rPr>
        <w:t>fizice</w:t>
      </w:r>
      <w:r w:rsidRPr="006B0D4C">
        <w:rPr>
          <w:lang w:val="ro-MD"/>
        </w:rPr>
        <w:t xml:space="preserve"> care efectuează tranzacţii în/din adresa prestatorilor de servicii privind activele virtuale autorizați în alte state, conform prevederilor art.8</w:t>
      </w:r>
      <w:r w:rsidR="00A8075F">
        <w:rPr>
          <w:lang w:val="ro-MD"/>
        </w:rPr>
        <w:t xml:space="preserve"> </w:t>
      </w:r>
      <w:r w:rsidRPr="006B0D4C">
        <w:rPr>
          <w:lang w:val="ro-MD"/>
        </w:rPr>
        <w:t>alin. (5</w:t>
      </w:r>
      <w:r w:rsidRPr="00AC1C1B">
        <w:rPr>
          <w:vertAlign w:val="superscript"/>
          <w:lang w:val="ro-MD"/>
        </w:rPr>
        <w:t>1</w:t>
      </w:r>
      <w:r w:rsidRPr="006B0D4C">
        <w:rPr>
          <w:lang w:val="ro-MD"/>
        </w:rPr>
        <w:t xml:space="preserve">) din Legea nr.308/2017 cu privire la prevenirea și combaterea spălării banilor și finanțării terorismului.  </w:t>
      </w:r>
    </w:p>
    <w:p w14:paraId="78DC0DF8" w14:textId="113A53B7" w:rsidR="006B0D4C" w:rsidRPr="006B0D4C" w:rsidRDefault="006B0D4C" w:rsidP="006B0D4C">
      <w:pPr>
        <w:pStyle w:val="ListParagraph"/>
        <w:ind w:left="709"/>
        <w:jc w:val="both"/>
        <w:rPr>
          <w:lang w:val="ro-MD"/>
        </w:rPr>
      </w:pPr>
      <w:r w:rsidRPr="006B0D4C">
        <w:rPr>
          <w:lang w:val="ro-MD"/>
        </w:rPr>
        <w:t xml:space="preserve">În creditul contului se înregistrează depunerile/transferurile </w:t>
      </w:r>
      <w:r w:rsidR="001464A7" w:rsidRPr="001464A7">
        <w:rPr>
          <w:lang w:val="ro-MD"/>
        </w:rPr>
        <w:t xml:space="preserve">în conturile clienților rezidenți persoane </w:t>
      </w:r>
      <w:r w:rsidR="00B37525">
        <w:rPr>
          <w:lang w:val="ro-MD"/>
        </w:rPr>
        <w:t>fizice</w:t>
      </w:r>
      <w:r w:rsidR="001464A7">
        <w:rPr>
          <w:lang w:val="ro-MD"/>
        </w:rPr>
        <w:t xml:space="preserve"> </w:t>
      </w:r>
      <w:r w:rsidR="001464A7" w:rsidRPr="001464A7">
        <w:rPr>
          <w:lang w:val="ro-MD"/>
        </w:rPr>
        <w:t xml:space="preserve">ale </w:t>
      </w:r>
      <w:r w:rsidRPr="006B0D4C">
        <w:rPr>
          <w:lang w:val="ro-MD"/>
        </w:rPr>
        <w:t>mijloacelor băneşti aferente tranzacţiilor în adresa prestatorilor de servicii privind activele virtuale autorizați în alte state.</w:t>
      </w:r>
    </w:p>
    <w:p w14:paraId="2D10D5F6" w14:textId="792530FB" w:rsidR="006B0D4C" w:rsidRPr="006B0D4C" w:rsidRDefault="006B0D4C" w:rsidP="006B0D4C">
      <w:pPr>
        <w:pStyle w:val="ListParagraph"/>
        <w:ind w:left="709"/>
        <w:jc w:val="both"/>
        <w:rPr>
          <w:lang w:val="ro-MD"/>
        </w:rPr>
      </w:pPr>
      <w:r w:rsidRPr="006B0D4C">
        <w:rPr>
          <w:lang w:val="ro-MD"/>
        </w:rPr>
        <w:t>În debitul contului se înregistrează transferurile din cont</w:t>
      </w:r>
      <w:r w:rsidR="001464A7">
        <w:rPr>
          <w:lang w:val="ro-MD"/>
        </w:rPr>
        <w:t>urile</w:t>
      </w:r>
      <w:r w:rsidRPr="006B0D4C">
        <w:rPr>
          <w:lang w:val="ro-MD"/>
        </w:rPr>
        <w:t xml:space="preserve"> </w:t>
      </w:r>
      <w:r w:rsidR="001464A7">
        <w:rPr>
          <w:lang w:val="ro-MD"/>
        </w:rPr>
        <w:t xml:space="preserve">clienților rezidenți persoane </w:t>
      </w:r>
      <w:r w:rsidR="00B37525">
        <w:rPr>
          <w:lang w:val="ro-MD"/>
        </w:rPr>
        <w:t>fizice</w:t>
      </w:r>
      <w:r w:rsidR="001464A7" w:rsidRPr="002B76CA">
        <w:rPr>
          <w:lang w:val="ro-MD"/>
        </w:rPr>
        <w:t xml:space="preserve"> </w:t>
      </w:r>
      <w:r w:rsidRPr="006B0D4C">
        <w:rPr>
          <w:lang w:val="ro-MD"/>
        </w:rPr>
        <w:t xml:space="preserve">ale mijloacelor băneşti aferente </w:t>
      </w:r>
      <w:r w:rsidR="00CE6841" w:rsidRPr="006B0D4C">
        <w:rPr>
          <w:lang w:val="ro-MD"/>
        </w:rPr>
        <w:t>tranzacțiilor</w:t>
      </w:r>
      <w:r w:rsidRPr="006B0D4C">
        <w:rPr>
          <w:lang w:val="ro-MD"/>
        </w:rPr>
        <w:t xml:space="preserve"> </w:t>
      </w:r>
      <w:r w:rsidR="001464A7">
        <w:rPr>
          <w:lang w:val="ro-MD"/>
        </w:rPr>
        <w:t>în</w:t>
      </w:r>
      <w:r w:rsidRPr="006B0D4C">
        <w:rPr>
          <w:lang w:val="ro-MD"/>
        </w:rPr>
        <w:t xml:space="preserve"> adresa prestatorilor de servicii privind activele virtuale autorizați în alte state.</w:t>
      </w:r>
    </w:p>
    <w:p w14:paraId="03355F4C" w14:textId="4C7B3C8C" w:rsidR="002B76CA" w:rsidRPr="002B76CA" w:rsidRDefault="006B0D4C" w:rsidP="006B0D4C">
      <w:pPr>
        <w:pStyle w:val="ListParagraph"/>
        <w:ind w:left="709"/>
        <w:jc w:val="both"/>
        <w:rPr>
          <w:lang w:val="ro-MD"/>
        </w:rPr>
      </w:pPr>
      <w:r w:rsidRPr="006B0D4C">
        <w:rPr>
          <w:lang w:val="ro-MD"/>
        </w:rPr>
        <w:lastRenderedPageBreak/>
        <w:t xml:space="preserve">Soldul contului este creditor </w:t>
      </w:r>
      <w:r w:rsidR="00CE6841" w:rsidRPr="006B0D4C">
        <w:rPr>
          <w:lang w:val="ro-MD"/>
        </w:rPr>
        <w:t>și</w:t>
      </w:r>
      <w:r w:rsidRPr="006B0D4C">
        <w:rPr>
          <w:lang w:val="ro-MD"/>
        </w:rPr>
        <w:t xml:space="preserve"> reprezintă mijloacele băneşti care nu sunt încă transferate în adresa prestatorilor de servicii privind activele virtuale autorizați în alte state.</w:t>
      </w:r>
      <w:r w:rsidR="002B76CA">
        <w:rPr>
          <w:lang w:val="ro-MD"/>
        </w:rPr>
        <w:t>”;</w:t>
      </w:r>
    </w:p>
    <w:p w14:paraId="133D7581" w14:textId="0397B3F3" w:rsidR="00EC58F6" w:rsidRDefault="00322917" w:rsidP="00EC58F6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9378A2">
        <w:rPr>
          <w:lang w:val="ro-MD"/>
        </w:rPr>
        <w:t xml:space="preserve">n descrierea soldului </w:t>
      </w:r>
      <w:r w:rsidR="008C685C">
        <w:rPr>
          <w:lang w:val="ro-MD"/>
        </w:rPr>
        <w:t xml:space="preserve">contului </w:t>
      </w:r>
      <w:r w:rsidR="009378A2">
        <w:rPr>
          <w:lang w:val="ro-MD"/>
        </w:rPr>
        <w:t xml:space="preserve">2232 </w:t>
      </w:r>
      <w:r w:rsidR="008C685C">
        <w:rPr>
          <w:lang w:val="ro-MD"/>
        </w:rPr>
        <w:t>„</w:t>
      </w:r>
      <w:r w:rsidR="008C685C" w:rsidRPr="008C685C">
        <w:rPr>
          <w:lang w:val="ro-MD"/>
        </w:rPr>
        <w:t>Alte depozite la vedere ale persoanelor juridice</w:t>
      </w:r>
      <w:r w:rsidR="008C685C">
        <w:rPr>
          <w:lang w:val="ro-MD"/>
        </w:rPr>
        <w:t xml:space="preserve">” </w:t>
      </w:r>
      <w:r w:rsidR="009378A2">
        <w:rPr>
          <w:lang w:val="ro-MD"/>
        </w:rPr>
        <w:t>cuvintele „depuse de persoanele juridice” se substituie cu cuvintele „ale persoanelor juridice”</w:t>
      </w:r>
      <w:r w:rsidR="008C685C">
        <w:rPr>
          <w:lang w:val="ro-MD"/>
        </w:rPr>
        <w:t>;</w:t>
      </w:r>
    </w:p>
    <w:p w14:paraId="2BED0C81" w14:textId="03FE9B7A" w:rsidR="009378A2" w:rsidRPr="00EC58F6" w:rsidRDefault="00322917" w:rsidP="00EC58F6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8C685C" w:rsidRPr="00EC58F6">
        <w:rPr>
          <w:lang w:val="ro-MD"/>
        </w:rPr>
        <w:t>n descrierea soldului contului 2233 „Alte depozite la vedere ale persoanelor fizice” cuvintele „depuse de persoanele fizice” se substituie cu cuvintele „ale persoanelor fizice”;</w:t>
      </w:r>
    </w:p>
    <w:p w14:paraId="0A2E06D2" w14:textId="77777777" w:rsidR="00BB28FC" w:rsidRDefault="00322917" w:rsidP="00AC1C1B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B91579" w:rsidRPr="00D865A4">
        <w:rPr>
          <w:lang w:val="ro-MD"/>
        </w:rPr>
        <w:t>n grupa de conturi 22</w:t>
      </w:r>
      <w:r w:rsidR="00825720">
        <w:rPr>
          <w:lang w:val="ro-MD"/>
        </w:rPr>
        <w:t>5</w:t>
      </w:r>
      <w:r w:rsidR="00B91579" w:rsidRPr="00D865A4">
        <w:rPr>
          <w:lang w:val="ro-MD"/>
        </w:rPr>
        <w:t xml:space="preserve">0 </w:t>
      </w:r>
      <w:r w:rsidR="00B91579">
        <w:rPr>
          <w:lang w:val="ro-MD"/>
        </w:rPr>
        <w:t>„</w:t>
      </w:r>
      <w:r w:rsidR="00B91579" w:rsidRPr="00D865A4">
        <w:rPr>
          <w:lang w:val="ro-MD"/>
        </w:rPr>
        <w:t xml:space="preserve">Depozite la vedere </w:t>
      </w:r>
      <w:r w:rsidR="008C685C">
        <w:rPr>
          <w:lang w:val="ro-MD"/>
        </w:rPr>
        <w:t>cu</w:t>
      </w:r>
      <w:r w:rsidR="008C685C" w:rsidRPr="00D865A4">
        <w:rPr>
          <w:lang w:val="ro-MD"/>
        </w:rPr>
        <w:t xml:space="preserve"> </w:t>
      </w:r>
      <w:r w:rsidR="00B91579" w:rsidRPr="00D865A4">
        <w:rPr>
          <w:lang w:val="ro-MD"/>
        </w:rPr>
        <w:t>dobândă ale clienţilor”</w:t>
      </w:r>
      <w:r w:rsidR="00BB28FC">
        <w:rPr>
          <w:lang w:val="ro-MD"/>
        </w:rPr>
        <w:t>:</w:t>
      </w:r>
    </w:p>
    <w:p w14:paraId="60D8BE91" w14:textId="3719E62A" w:rsidR="00BB28FC" w:rsidRDefault="00BB28FC" w:rsidP="00BB28FC">
      <w:pPr>
        <w:pStyle w:val="ListParagraph"/>
        <w:ind w:left="709"/>
        <w:jc w:val="both"/>
        <w:rPr>
          <w:lang w:val="ro-MD"/>
        </w:rPr>
      </w:pPr>
      <w:r w:rsidRPr="00BB28FC">
        <w:rPr>
          <w:lang w:val="ro-MD"/>
        </w:rPr>
        <w:t>în descrierea contu</w:t>
      </w:r>
      <w:r w:rsidR="009D3E48">
        <w:rPr>
          <w:lang w:val="ro-MD"/>
        </w:rPr>
        <w:t>rilor 2263 și</w:t>
      </w:r>
      <w:r w:rsidRPr="00BB28FC">
        <w:rPr>
          <w:lang w:val="ro-MD"/>
        </w:rPr>
        <w:t xml:space="preserve"> 2266 „Mijloacele bugetelor locale” a doua propoziție se exclude;</w:t>
      </w:r>
    </w:p>
    <w:p w14:paraId="1E1D84A1" w14:textId="3ADA3966" w:rsidR="00CE6841" w:rsidRPr="009D42AD" w:rsidRDefault="00B91579" w:rsidP="00BB28FC">
      <w:pPr>
        <w:pStyle w:val="ListParagraph"/>
        <w:ind w:left="709"/>
        <w:jc w:val="both"/>
        <w:rPr>
          <w:lang w:val="ro-MD"/>
        </w:rPr>
      </w:pPr>
      <w:r w:rsidRPr="005E4FC8">
        <w:rPr>
          <w:lang w:val="ro-MD"/>
        </w:rPr>
        <w:t>după contul 22</w:t>
      </w:r>
      <w:r w:rsidR="00825720" w:rsidRPr="005E4FC8">
        <w:rPr>
          <w:lang w:val="ro-MD"/>
        </w:rPr>
        <w:t>75</w:t>
      </w:r>
      <w:r w:rsidRPr="005E4FC8">
        <w:rPr>
          <w:lang w:val="ro-MD"/>
        </w:rPr>
        <w:t xml:space="preserve"> </w:t>
      </w:r>
      <w:r w:rsidR="00CE6841" w:rsidRPr="005E4FC8">
        <w:rPr>
          <w:lang w:val="ro-MD"/>
        </w:rPr>
        <w:t xml:space="preserve">se completează </w:t>
      </w:r>
      <w:r w:rsidR="001E2612">
        <w:rPr>
          <w:lang w:val="ro-MD"/>
        </w:rPr>
        <w:t xml:space="preserve">cu </w:t>
      </w:r>
      <w:r w:rsidR="009D42AD" w:rsidRPr="009D42AD">
        <w:rPr>
          <w:lang w:val="ro-MD"/>
        </w:rPr>
        <w:t>un cont nou, cu următorul cuprins:</w:t>
      </w:r>
      <w:r w:rsidR="009D42AD">
        <w:rPr>
          <w:lang w:val="ro-MD"/>
        </w:rPr>
        <w:t xml:space="preserve"> </w:t>
      </w:r>
      <w:r w:rsidR="00CE6841" w:rsidRPr="009D42AD">
        <w:rPr>
          <w:lang w:val="ro-MD"/>
        </w:rPr>
        <w:t>„</w:t>
      </w:r>
      <w:r w:rsidR="00CE6841" w:rsidRPr="009D42AD">
        <w:rPr>
          <w:b/>
          <w:bCs/>
          <w:lang w:val="ro-MD"/>
        </w:rPr>
        <w:t>2276</w:t>
      </w:r>
      <w:r w:rsidR="00CE6841" w:rsidRPr="009D42AD">
        <w:rPr>
          <w:lang w:val="ro-MD"/>
        </w:rPr>
        <w:t xml:space="preserve"> Conturi curente speciale ale notarilor”;</w:t>
      </w:r>
    </w:p>
    <w:p w14:paraId="1017113E" w14:textId="5E4E0D41" w:rsidR="00CE6841" w:rsidRDefault="00B91579" w:rsidP="00AC1C1B">
      <w:pPr>
        <w:pStyle w:val="ListParagraph"/>
        <w:tabs>
          <w:tab w:val="left" w:pos="1134"/>
        </w:tabs>
        <w:ind w:left="709"/>
        <w:jc w:val="both"/>
        <w:rPr>
          <w:lang w:val="ro-MD"/>
        </w:rPr>
      </w:pPr>
      <w:r w:rsidRPr="00CE6841">
        <w:rPr>
          <w:lang w:val="ro-MD"/>
        </w:rPr>
        <w:t xml:space="preserve">după descrierea contului </w:t>
      </w:r>
      <w:r w:rsidR="00806549" w:rsidRPr="00CE6841">
        <w:rPr>
          <w:lang w:val="ro-MD"/>
        </w:rPr>
        <w:t>22</w:t>
      </w:r>
      <w:r w:rsidR="009A3C73" w:rsidRPr="00CE6841">
        <w:rPr>
          <w:lang w:val="ro-MD"/>
        </w:rPr>
        <w:t>75</w:t>
      </w:r>
      <w:r w:rsidRPr="00CE6841">
        <w:rPr>
          <w:lang w:val="ro-MD"/>
        </w:rPr>
        <w:t xml:space="preserve"> se </w:t>
      </w:r>
      <w:r w:rsidR="008C685C" w:rsidRPr="00CE6841">
        <w:rPr>
          <w:lang w:val="ro-MD"/>
        </w:rPr>
        <w:t xml:space="preserve">completează </w:t>
      </w:r>
      <w:r w:rsidR="009D42AD">
        <w:rPr>
          <w:lang w:val="ro-MD"/>
        </w:rPr>
        <w:t xml:space="preserve">cu </w:t>
      </w:r>
      <w:r w:rsidR="00CE6841" w:rsidRPr="00CE6841">
        <w:rPr>
          <w:lang w:val="ro-MD"/>
        </w:rPr>
        <w:t>descrierea</w:t>
      </w:r>
      <w:r w:rsidR="009D42AD">
        <w:rPr>
          <w:lang w:val="ro-MD"/>
        </w:rPr>
        <w:t xml:space="preserve"> contului 2276, cu următorul cuprins</w:t>
      </w:r>
      <w:r w:rsidR="00CE6841" w:rsidRPr="00CE6841">
        <w:rPr>
          <w:lang w:val="ro-MD"/>
        </w:rPr>
        <w:t>:</w:t>
      </w:r>
    </w:p>
    <w:p w14:paraId="2B6E1DB1" w14:textId="7A7F9545" w:rsidR="009A3C73" w:rsidRPr="00CE6841" w:rsidRDefault="00806549" w:rsidP="00AC1C1B">
      <w:pPr>
        <w:pStyle w:val="ListParagraph"/>
        <w:ind w:left="709"/>
        <w:jc w:val="both"/>
        <w:rPr>
          <w:lang w:val="ro-MD"/>
        </w:rPr>
      </w:pPr>
      <w:r w:rsidRPr="00CE6841">
        <w:rPr>
          <w:lang w:val="ro-MD"/>
        </w:rPr>
        <w:t>„</w:t>
      </w:r>
      <w:bookmarkStart w:id="7" w:name="_Hlk149680051"/>
      <w:r w:rsidR="009A3C73" w:rsidRPr="00CE6841">
        <w:rPr>
          <w:lang w:val="ro-MD"/>
        </w:rPr>
        <w:t xml:space="preserve">Contul </w:t>
      </w:r>
      <w:r w:rsidR="009A3C73" w:rsidRPr="00CE6841">
        <w:rPr>
          <w:b/>
          <w:bCs/>
          <w:lang w:val="ro-MD"/>
        </w:rPr>
        <w:t>2276</w:t>
      </w:r>
      <w:r w:rsidR="009A3C73" w:rsidRPr="00CE6841">
        <w:rPr>
          <w:lang w:val="ro-MD"/>
        </w:rPr>
        <w:t xml:space="preserve"> este destinat pentru evidenţa mijloacelor băneşti</w:t>
      </w:r>
      <w:r w:rsidR="000F78A5" w:rsidRPr="00CE6841">
        <w:rPr>
          <w:lang w:val="ro-MD"/>
        </w:rPr>
        <w:t xml:space="preserve"> și/sau </w:t>
      </w:r>
      <w:r w:rsidR="00DC39AA">
        <w:rPr>
          <w:lang w:val="ro-MD"/>
        </w:rPr>
        <w:t xml:space="preserve">a </w:t>
      </w:r>
      <w:r w:rsidR="000F78A5" w:rsidRPr="00CE6841">
        <w:rPr>
          <w:lang w:val="ro-MD"/>
        </w:rPr>
        <w:t>instrumente</w:t>
      </w:r>
      <w:r w:rsidR="00F7613C" w:rsidRPr="00CE6841">
        <w:rPr>
          <w:lang w:val="ro-MD"/>
        </w:rPr>
        <w:t>lor</w:t>
      </w:r>
      <w:r w:rsidR="000F78A5" w:rsidRPr="00CE6841">
        <w:rPr>
          <w:lang w:val="ro-MD"/>
        </w:rPr>
        <w:t xml:space="preserve"> financiare</w:t>
      </w:r>
      <w:r w:rsidR="009A3C73" w:rsidRPr="00CE6841">
        <w:rPr>
          <w:lang w:val="ro-MD"/>
        </w:rPr>
        <w:t xml:space="preserve"> </w:t>
      </w:r>
      <w:r w:rsidR="00F7613C" w:rsidRPr="00CE6841">
        <w:rPr>
          <w:lang w:val="ro-MD"/>
        </w:rPr>
        <w:t>cu dobândă</w:t>
      </w:r>
      <w:r w:rsidR="000F78A5" w:rsidRPr="00CE6841">
        <w:rPr>
          <w:lang w:val="ro-MD"/>
        </w:rPr>
        <w:t xml:space="preserve"> </w:t>
      </w:r>
      <w:r w:rsidR="009A3C73" w:rsidRPr="00CE6841">
        <w:rPr>
          <w:lang w:val="ro-MD"/>
        </w:rPr>
        <w:t xml:space="preserve">depuse/transferate de către </w:t>
      </w:r>
      <w:r w:rsidR="000F78A5" w:rsidRPr="00CE6841">
        <w:rPr>
          <w:lang w:val="ro-MD"/>
        </w:rPr>
        <w:t>debitor</w:t>
      </w:r>
      <w:r w:rsidR="00210F48">
        <w:rPr>
          <w:lang w:val="ro-MD"/>
        </w:rPr>
        <w:t xml:space="preserve"> </w:t>
      </w:r>
      <w:r w:rsidR="000F78A5" w:rsidRPr="00CE6841">
        <w:rPr>
          <w:lang w:val="ro-MD"/>
        </w:rPr>
        <w:t>notarului pentru a le transmite creditorului conform art.60 din Legea nr.246/2018 privind procedura notarială.</w:t>
      </w:r>
    </w:p>
    <w:p w14:paraId="3A75D150" w14:textId="3BE509B0" w:rsidR="009A3C73" w:rsidRPr="00556174" w:rsidRDefault="009A3C73" w:rsidP="00EC58F6">
      <w:pPr>
        <w:pStyle w:val="ListParagraph"/>
        <w:ind w:left="709"/>
        <w:jc w:val="both"/>
        <w:rPr>
          <w:lang w:val="ro-MD"/>
        </w:rPr>
      </w:pPr>
      <w:r w:rsidRPr="00556174">
        <w:rPr>
          <w:lang w:val="ro-MD"/>
        </w:rPr>
        <w:t xml:space="preserve">În creditul contului se înregistrează depunerile/transferurile aferente mijloacelor băneşti </w:t>
      </w:r>
      <w:r w:rsidR="000F78A5" w:rsidRPr="00556174">
        <w:rPr>
          <w:lang w:val="ro-MD"/>
        </w:rPr>
        <w:t>și/sau instrumente</w:t>
      </w:r>
      <w:r w:rsidR="00F7613C">
        <w:rPr>
          <w:lang w:val="ro-MD"/>
        </w:rPr>
        <w:t>lor</w:t>
      </w:r>
      <w:r w:rsidR="000F78A5" w:rsidRPr="00556174">
        <w:rPr>
          <w:lang w:val="ro-MD"/>
        </w:rPr>
        <w:t xml:space="preserve"> financiare </w:t>
      </w:r>
      <w:r w:rsidR="00F7613C">
        <w:rPr>
          <w:lang w:val="ro-MD"/>
        </w:rPr>
        <w:t xml:space="preserve">efectuate </w:t>
      </w:r>
      <w:r w:rsidR="000F78A5" w:rsidRPr="00556174">
        <w:rPr>
          <w:lang w:val="ro-MD"/>
        </w:rPr>
        <w:t>de către debitor</w:t>
      </w:r>
      <w:r w:rsidR="00210F48">
        <w:rPr>
          <w:lang w:val="ro-MD"/>
        </w:rPr>
        <w:t xml:space="preserve"> </w:t>
      </w:r>
      <w:r w:rsidR="000F78A5" w:rsidRPr="00556174">
        <w:rPr>
          <w:lang w:val="ro-MD"/>
        </w:rPr>
        <w:t>notarului pentru a le transmite creditorului</w:t>
      </w:r>
      <w:r w:rsidRPr="00556174">
        <w:rPr>
          <w:lang w:val="ro-MD"/>
        </w:rPr>
        <w:t xml:space="preserve"> conform</w:t>
      </w:r>
      <w:r w:rsidR="006F51C5" w:rsidRPr="00556174">
        <w:rPr>
          <w:lang w:val="ro-MD"/>
        </w:rPr>
        <w:t xml:space="preserve"> prevederilor</w:t>
      </w:r>
      <w:r w:rsidRPr="00556174">
        <w:rPr>
          <w:lang w:val="ro-MD"/>
        </w:rPr>
        <w:t xml:space="preserve"> </w:t>
      </w:r>
      <w:r w:rsidR="00875D83">
        <w:rPr>
          <w:lang w:val="ro-MD"/>
        </w:rPr>
        <w:t>actelor normative</w:t>
      </w:r>
      <w:r w:rsidR="00C12361">
        <w:rPr>
          <w:lang w:val="ro-MD"/>
        </w:rPr>
        <w:t xml:space="preserve"> în vigoare</w:t>
      </w:r>
      <w:r w:rsidR="000F78A5" w:rsidRPr="00556174">
        <w:rPr>
          <w:lang w:val="ro-MD"/>
        </w:rPr>
        <w:t>.</w:t>
      </w:r>
    </w:p>
    <w:p w14:paraId="54EBC4E0" w14:textId="742EA972" w:rsidR="000F78A5" w:rsidRPr="009A3C73" w:rsidRDefault="009A3C73" w:rsidP="00EC58F6">
      <w:pPr>
        <w:pStyle w:val="ListParagraph"/>
        <w:ind w:left="709"/>
        <w:jc w:val="both"/>
        <w:rPr>
          <w:lang w:val="ro-MD"/>
        </w:rPr>
      </w:pPr>
      <w:r w:rsidRPr="00556174">
        <w:rPr>
          <w:lang w:val="ro-MD"/>
        </w:rPr>
        <w:t xml:space="preserve">În debitul contului se înregistrează </w:t>
      </w:r>
      <w:r w:rsidR="002B76CA">
        <w:rPr>
          <w:lang w:val="ro-MD"/>
        </w:rPr>
        <w:t>plățile</w:t>
      </w:r>
      <w:r w:rsidRPr="00556174">
        <w:rPr>
          <w:lang w:val="ro-MD"/>
        </w:rPr>
        <w:t xml:space="preserve"> </w:t>
      </w:r>
      <w:r w:rsidR="000F78A5" w:rsidRPr="00556174">
        <w:rPr>
          <w:lang w:val="ro-MD"/>
        </w:rPr>
        <w:t xml:space="preserve">aferente mijloacelor băneşti și/sau </w:t>
      </w:r>
      <w:r w:rsidR="00DC39AA">
        <w:rPr>
          <w:lang w:val="ro-MD"/>
        </w:rPr>
        <w:t xml:space="preserve">a </w:t>
      </w:r>
      <w:r w:rsidR="000F78A5" w:rsidRPr="00556174">
        <w:rPr>
          <w:lang w:val="ro-MD"/>
        </w:rPr>
        <w:t>instrumente</w:t>
      </w:r>
      <w:r w:rsidR="00F7613C">
        <w:rPr>
          <w:lang w:val="ro-MD"/>
        </w:rPr>
        <w:t>lor</w:t>
      </w:r>
      <w:r w:rsidR="000F78A5" w:rsidRPr="00556174">
        <w:rPr>
          <w:lang w:val="ro-MD"/>
        </w:rPr>
        <w:t xml:space="preserve"> financiare </w:t>
      </w:r>
      <w:r w:rsidR="00F7613C">
        <w:rPr>
          <w:lang w:val="ro-MD"/>
        </w:rPr>
        <w:t xml:space="preserve">efectuate </w:t>
      </w:r>
      <w:r w:rsidR="000F78A5" w:rsidRPr="00556174">
        <w:rPr>
          <w:lang w:val="ro-MD"/>
        </w:rPr>
        <w:t>de către debitor</w:t>
      </w:r>
      <w:r w:rsidR="00210F48">
        <w:rPr>
          <w:lang w:val="ro-MD"/>
        </w:rPr>
        <w:t xml:space="preserve"> </w:t>
      </w:r>
      <w:r w:rsidR="000F78A5" w:rsidRPr="00556174">
        <w:rPr>
          <w:lang w:val="ro-MD"/>
        </w:rPr>
        <w:t xml:space="preserve">notarului pentru a le transmite creditorului conform </w:t>
      </w:r>
      <w:r w:rsidR="006F51C5" w:rsidRPr="00556174">
        <w:rPr>
          <w:lang w:val="ro-MD"/>
        </w:rPr>
        <w:t>preved</w:t>
      </w:r>
      <w:r w:rsidR="007E04C6">
        <w:rPr>
          <w:lang w:val="ro-MD"/>
        </w:rPr>
        <w:t>e</w:t>
      </w:r>
      <w:r w:rsidR="006F51C5" w:rsidRPr="00556174">
        <w:rPr>
          <w:lang w:val="ro-MD"/>
        </w:rPr>
        <w:t xml:space="preserve">rilor </w:t>
      </w:r>
      <w:r w:rsidR="00875D83">
        <w:rPr>
          <w:lang w:val="ro-MD"/>
        </w:rPr>
        <w:t>actelor normative</w:t>
      </w:r>
      <w:r w:rsidR="00C12361">
        <w:rPr>
          <w:lang w:val="ro-MD"/>
        </w:rPr>
        <w:t xml:space="preserve"> în vigoare</w:t>
      </w:r>
      <w:r w:rsidR="000F78A5" w:rsidRPr="00556174">
        <w:rPr>
          <w:lang w:val="ro-MD"/>
        </w:rPr>
        <w:t>.</w:t>
      </w:r>
    </w:p>
    <w:p w14:paraId="73ECA4E8" w14:textId="2F909FCD" w:rsidR="001C0AEF" w:rsidRPr="00210F48" w:rsidRDefault="009A3C73" w:rsidP="00210F48">
      <w:pPr>
        <w:pStyle w:val="ListParagraph"/>
        <w:ind w:left="709"/>
        <w:jc w:val="both"/>
        <w:rPr>
          <w:lang w:val="ro-MD"/>
        </w:rPr>
      </w:pPr>
      <w:r w:rsidRPr="009A3C73">
        <w:rPr>
          <w:lang w:val="ro-MD"/>
        </w:rPr>
        <w:t xml:space="preserve">Soldul contului este creditor </w:t>
      </w:r>
      <w:r w:rsidR="00CE6841" w:rsidRPr="009A3C73">
        <w:rPr>
          <w:lang w:val="ro-MD"/>
        </w:rPr>
        <w:t>și</w:t>
      </w:r>
      <w:r w:rsidRPr="009A3C73">
        <w:rPr>
          <w:lang w:val="ro-MD"/>
        </w:rPr>
        <w:t xml:space="preserve"> reprezintă mijloacele băneşti care nu sunt încă transferate beneficiarului</w:t>
      </w:r>
      <w:r w:rsidR="00875D83">
        <w:rPr>
          <w:lang w:val="ro-MD"/>
        </w:rPr>
        <w:t xml:space="preserve"> conform prevederilor actelor normative</w:t>
      </w:r>
      <w:r w:rsidR="008022DD">
        <w:rPr>
          <w:lang w:val="ro-MD"/>
        </w:rPr>
        <w:t xml:space="preserve"> în vigoare</w:t>
      </w:r>
      <w:r w:rsidRPr="009A3C73">
        <w:rPr>
          <w:lang w:val="ro-MD"/>
        </w:rPr>
        <w:t>.</w:t>
      </w:r>
      <w:bookmarkEnd w:id="7"/>
      <w:r w:rsidR="006F51C5" w:rsidRPr="00210F48">
        <w:rPr>
          <w:lang w:val="ro-MD"/>
        </w:rPr>
        <w:t>”</w:t>
      </w:r>
      <w:r w:rsidR="006B6C84" w:rsidRPr="00210F48">
        <w:rPr>
          <w:lang w:val="ro-MD"/>
        </w:rPr>
        <w:t>;</w:t>
      </w:r>
    </w:p>
    <w:p w14:paraId="587F48D3" w14:textId="173342E3" w:rsidR="00D007BC" w:rsidRDefault="00322917" w:rsidP="00EC58F6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D007BC">
        <w:rPr>
          <w:lang w:val="ro-MD"/>
        </w:rPr>
        <w:t>n descrierea grupei 2770 „</w:t>
      </w:r>
      <w:r w:rsidR="00D007BC" w:rsidRPr="00D007BC">
        <w:rPr>
          <w:lang w:val="ro-MD"/>
        </w:rPr>
        <w:t>Provizioane</w:t>
      </w:r>
      <w:r w:rsidR="00D007BC">
        <w:rPr>
          <w:lang w:val="ro-MD"/>
        </w:rPr>
        <w:t xml:space="preserve">” cuvintele „beneficiile </w:t>
      </w:r>
      <w:r w:rsidR="00CE6841" w:rsidRPr="00D007BC">
        <w:rPr>
          <w:lang w:val="ro-MD"/>
        </w:rPr>
        <w:t>salariaților</w:t>
      </w:r>
      <w:r w:rsidR="00D007BC">
        <w:rPr>
          <w:lang w:val="ro-MD"/>
        </w:rPr>
        <w:t>” se substituie cu cuvintele „beneficiile angajaților”</w:t>
      </w:r>
      <w:r w:rsidR="006B6C84">
        <w:rPr>
          <w:lang w:val="ro-MD"/>
        </w:rPr>
        <w:t>;</w:t>
      </w:r>
    </w:p>
    <w:p w14:paraId="261999E6" w14:textId="049536D1" w:rsidR="006F51C5" w:rsidRDefault="00322917" w:rsidP="00EC58F6">
      <w:pPr>
        <w:pStyle w:val="ListParagraph"/>
        <w:numPr>
          <w:ilvl w:val="0"/>
          <w:numId w:val="14"/>
        </w:numPr>
        <w:ind w:left="709" w:hanging="283"/>
        <w:jc w:val="both"/>
        <w:rPr>
          <w:lang w:val="ro-MD"/>
        </w:rPr>
      </w:pPr>
      <w:r>
        <w:rPr>
          <w:lang w:val="ro-MD"/>
        </w:rPr>
        <w:t>î</w:t>
      </w:r>
      <w:r w:rsidR="006F51C5" w:rsidRPr="00D865A4">
        <w:rPr>
          <w:lang w:val="ro-MD"/>
        </w:rPr>
        <w:t xml:space="preserve">n grupa de conturi </w:t>
      </w:r>
      <w:r w:rsidR="006F51C5">
        <w:rPr>
          <w:lang w:val="ro-MD"/>
        </w:rPr>
        <w:t>2790</w:t>
      </w:r>
      <w:r w:rsidR="006F51C5" w:rsidRPr="00D865A4">
        <w:rPr>
          <w:lang w:val="ro-MD"/>
        </w:rPr>
        <w:t xml:space="preserve"> </w:t>
      </w:r>
      <w:r w:rsidR="006F51C5">
        <w:rPr>
          <w:lang w:val="ro-MD"/>
        </w:rPr>
        <w:t xml:space="preserve">„Conturi de tranzit și suspendate”, </w:t>
      </w:r>
      <w:r w:rsidR="006F51C5" w:rsidRPr="00D865A4">
        <w:rPr>
          <w:lang w:val="ro-MD"/>
        </w:rPr>
        <w:t>după contul 2</w:t>
      </w:r>
      <w:r w:rsidR="006F51C5">
        <w:rPr>
          <w:lang w:val="ro-MD"/>
        </w:rPr>
        <w:t xml:space="preserve">798 </w:t>
      </w:r>
      <w:r w:rsidR="006F51C5" w:rsidRPr="00D865A4">
        <w:rPr>
          <w:lang w:val="ro-MD"/>
        </w:rPr>
        <w:t xml:space="preserve">se </w:t>
      </w:r>
      <w:r w:rsidR="006B6C84">
        <w:rPr>
          <w:lang w:val="ro-MD"/>
        </w:rPr>
        <w:t>completează</w:t>
      </w:r>
      <w:r w:rsidR="006B6C84" w:rsidRPr="00D865A4">
        <w:rPr>
          <w:lang w:val="ro-MD"/>
        </w:rPr>
        <w:t xml:space="preserve"> </w:t>
      </w:r>
      <w:r w:rsidR="001E2612">
        <w:rPr>
          <w:lang w:val="ro-MD"/>
        </w:rPr>
        <w:t xml:space="preserve">cu </w:t>
      </w:r>
      <w:r w:rsidR="006F51C5" w:rsidRPr="00D865A4">
        <w:rPr>
          <w:lang w:val="ro-MD"/>
        </w:rPr>
        <w:t xml:space="preserve">un cont nou, cu următorul cuprins: </w:t>
      </w:r>
      <w:r w:rsidR="006F51C5">
        <w:rPr>
          <w:lang w:val="ro-MD"/>
        </w:rPr>
        <w:t>„</w:t>
      </w:r>
      <w:r w:rsidR="006F51C5" w:rsidRPr="007E04C6">
        <w:rPr>
          <w:b/>
          <w:bCs/>
          <w:lang w:val="ro-MD"/>
        </w:rPr>
        <w:t>2799</w:t>
      </w:r>
      <w:r w:rsidR="006F51C5">
        <w:rPr>
          <w:lang w:val="ro-MD"/>
        </w:rPr>
        <w:t xml:space="preserve"> Operațiuni </w:t>
      </w:r>
      <w:r w:rsidR="004E116A" w:rsidRPr="004E116A">
        <w:rPr>
          <w:lang w:val="ro-MD"/>
        </w:rPr>
        <w:t>prin sistemul de</w:t>
      </w:r>
      <w:r w:rsidR="006F51C5">
        <w:rPr>
          <w:lang w:val="ro-MD"/>
        </w:rPr>
        <w:t xml:space="preserve"> plăți instant”</w:t>
      </w:r>
      <w:r w:rsidR="006F51C5" w:rsidRPr="001C0AEF">
        <w:rPr>
          <w:lang w:val="ro-MD"/>
        </w:rPr>
        <w:t xml:space="preserve">, după descrierea contului </w:t>
      </w:r>
      <w:r w:rsidR="006F51C5">
        <w:rPr>
          <w:lang w:val="ro-MD"/>
        </w:rPr>
        <w:t>2798</w:t>
      </w:r>
      <w:r w:rsidR="006F51C5" w:rsidRPr="001C0AEF">
        <w:rPr>
          <w:lang w:val="ro-MD"/>
        </w:rPr>
        <w:t xml:space="preserve"> se </w:t>
      </w:r>
      <w:r w:rsidR="006757DB">
        <w:rPr>
          <w:lang w:val="ro-MD"/>
        </w:rPr>
        <w:t>completează</w:t>
      </w:r>
      <w:r w:rsidR="006757DB" w:rsidRPr="001C0AEF">
        <w:rPr>
          <w:lang w:val="ro-MD"/>
        </w:rPr>
        <w:t xml:space="preserve"> </w:t>
      </w:r>
      <w:r w:rsidR="006F51C5" w:rsidRPr="001C0AEF">
        <w:rPr>
          <w:lang w:val="ro-MD"/>
        </w:rPr>
        <w:t xml:space="preserve">descrierea contului </w:t>
      </w:r>
      <w:r w:rsidR="006F51C5">
        <w:rPr>
          <w:lang w:val="ro-MD"/>
        </w:rPr>
        <w:t>2799</w:t>
      </w:r>
      <w:r w:rsidR="006F51C5" w:rsidRPr="001C0AEF">
        <w:rPr>
          <w:lang w:val="ro-MD"/>
        </w:rPr>
        <w:t>, cu următorul cuprins</w:t>
      </w:r>
      <w:r w:rsidR="006F51C5">
        <w:rPr>
          <w:lang w:val="ro-MD"/>
        </w:rPr>
        <w:t>:</w:t>
      </w:r>
    </w:p>
    <w:p w14:paraId="3F31DED4" w14:textId="7B08517C" w:rsidR="006F51C5" w:rsidRPr="001C0AEF" w:rsidRDefault="006F51C5" w:rsidP="00EC58F6">
      <w:pPr>
        <w:pStyle w:val="ListParagraph"/>
        <w:ind w:left="709"/>
        <w:jc w:val="both"/>
        <w:rPr>
          <w:lang w:val="ro-MD"/>
        </w:rPr>
      </w:pPr>
      <w:r>
        <w:rPr>
          <w:lang w:val="ro-MD"/>
        </w:rPr>
        <w:t>„</w:t>
      </w:r>
      <w:r w:rsidRPr="006F51C5">
        <w:rPr>
          <w:lang w:val="ro-MD"/>
        </w:rPr>
        <w:t xml:space="preserve">Contul </w:t>
      </w:r>
      <w:r w:rsidRPr="006F51C5">
        <w:rPr>
          <w:b/>
          <w:bCs/>
          <w:lang w:val="ro-MD"/>
        </w:rPr>
        <w:t>2799</w:t>
      </w:r>
      <w:r w:rsidRPr="006F51C5">
        <w:rPr>
          <w:lang w:val="ro-MD"/>
        </w:rPr>
        <w:t xml:space="preserve"> este destinat pentru reflectarea obligaţiilor băncii aferente </w:t>
      </w:r>
      <w:r w:rsidR="00CE6841" w:rsidRPr="006F51C5">
        <w:rPr>
          <w:lang w:val="ro-MD"/>
        </w:rPr>
        <w:t>operațiunilor</w:t>
      </w:r>
      <w:r w:rsidRPr="006F51C5">
        <w:rPr>
          <w:lang w:val="ro-MD"/>
        </w:rPr>
        <w:t xml:space="preserve"> </w:t>
      </w:r>
      <w:r w:rsidR="004E116A" w:rsidRPr="004E116A">
        <w:rPr>
          <w:lang w:val="ro-MD"/>
        </w:rPr>
        <w:t>prin sistemul de</w:t>
      </w:r>
      <w:r w:rsidRPr="006F51C5">
        <w:rPr>
          <w:lang w:val="ro-MD"/>
        </w:rPr>
        <w:t xml:space="preserve"> </w:t>
      </w:r>
      <w:r>
        <w:rPr>
          <w:lang w:val="ro-MD"/>
        </w:rPr>
        <w:t>plăți instant.</w:t>
      </w:r>
    </w:p>
    <w:p w14:paraId="773E2F6C" w14:textId="0BD2E141" w:rsidR="006F51C5" w:rsidRPr="001C0AEF" w:rsidRDefault="006F51C5" w:rsidP="00EC58F6">
      <w:pPr>
        <w:pStyle w:val="ListParagraph"/>
        <w:ind w:left="709"/>
        <w:jc w:val="both"/>
        <w:rPr>
          <w:lang w:val="ro-MD"/>
        </w:rPr>
      </w:pPr>
      <w:r w:rsidRPr="006F51C5">
        <w:rPr>
          <w:lang w:val="ro-MD"/>
        </w:rPr>
        <w:t xml:space="preserve">În creditul contului se înregistrează sumele obligaţiilor băncii aferente </w:t>
      </w:r>
      <w:r w:rsidR="00CE6841" w:rsidRPr="006F51C5">
        <w:rPr>
          <w:lang w:val="ro-MD"/>
        </w:rPr>
        <w:t>operațiunilor</w:t>
      </w:r>
      <w:r w:rsidRPr="006F51C5">
        <w:rPr>
          <w:lang w:val="ro-MD"/>
        </w:rPr>
        <w:t xml:space="preserve"> </w:t>
      </w:r>
      <w:r w:rsidR="004E116A" w:rsidRPr="004E116A">
        <w:rPr>
          <w:lang w:val="ro-MD"/>
        </w:rPr>
        <w:t>prin sistemul de</w:t>
      </w:r>
      <w:r w:rsidRPr="006F51C5">
        <w:rPr>
          <w:lang w:val="ro-MD"/>
        </w:rPr>
        <w:t xml:space="preserve"> </w:t>
      </w:r>
      <w:r>
        <w:rPr>
          <w:lang w:val="ro-MD"/>
        </w:rPr>
        <w:t>plăți instant.</w:t>
      </w:r>
    </w:p>
    <w:p w14:paraId="27AE3C38" w14:textId="3DABABB5" w:rsidR="006F51C5" w:rsidRPr="001C0AEF" w:rsidRDefault="006F51C5" w:rsidP="00EC58F6">
      <w:pPr>
        <w:pStyle w:val="ListParagraph"/>
        <w:ind w:left="709"/>
        <w:jc w:val="both"/>
        <w:rPr>
          <w:lang w:val="ro-MD"/>
        </w:rPr>
      </w:pPr>
      <w:r w:rsidRPr="006F51C5">
        <w:rPr>
          <w:lang w:val="ro-MD"/>
        </w:rPr>
        <w:t xml:space="preserve">În debitul contului se înregistrează achitarea/derecunoaşterea obligaţiilor băncii aferente </w:t>
      </w:r>
      <w:r w:rsidR="00CE6841" w:rsidRPr="006F51C5">
        <w:rPr>
          <w:lang w:val="ro-MD"/>
        </w:rPr>
        <w:t>operațiunilor</w:t>
      </w:r>
      <w:r w:rsidRPr="006F51C5">
        <w:rPr>
          <w:lang w:val="ro-MD"/>
        </w:rPr>
        <w:t xml:space="preserve"> </w:t>
      </w:r>
      <w:r w:rsidR="004E116A" w:rsidRPr="004E116A">
        <w:rPr>
          <w:lang w:val="ro-MD"/>
        </w:rPr>
        <w:t>prin sistemul de</w:t>
      </w:r>
      <w:r w:rsidRPr="006F51C5">
        <w:rPr>
          <w:lang w:val="ro-MD"/>
        </w:rPr>
        <w:t xml:space="preserve"> </w:t>
      </w:r>
      <w:r>
        <w:rPr>
          <w:lang w:val="ro-MD"/>
        </w:rPr>
        <w:t>plăți instant.</w:t>
      </w:r>
    </w:p>
    <w:p w14:paraId="6248FF17" w14:textId="1868CEDF" w:rsidR="006F51C5" w:rsidRDefault="006F51C5" w:rsidP="00EC58F6">
      <w:pPr>
        <w:pStyle w:val="ListParagraph"/>
        <w:ind w:left="709"/>
        <w:jc w:val="both"/>
        <w:rPr>
          <w:lang w:val="ro-MD"/>
        </w:rPr>
      </w:pPr>
      <w:r w:rsidRPr="006F51C5">
        <w:rPr>
          <w:lang w:val="ro-MD"/>
        </w:rPr>
        <w:t xml:space="preserve">Soldul contului este creditor </w:t>
      </w:r>
      <w:r w:rsidR="00CE6841" w:rsidRPr="006F51C5">
        <w:rPr>
          <w:lang w:val="ro-MD"/>
        </w:rPr>
        <w:t>și</w:t>
      </w:r>
      <w:r w:rsidRPr="006F51C5">
        <w:rPr>
          <w:lang w:val="ro-MD"/>
        </w:rPr>
        <w:t xml:space="preserve"> reprezintă suma obligaţiilor băncii aferente </w:t>
      </w:r>
      <w:r w:rsidR="00CE6841" w:rsidRPr="006F51C5">
        <w:rPr>
          <w:lang w:val="ro-MD"/>
        </w:rPr>
        <w:t>operațiunilor</w:t>
      </w:r>
      <w:r w:rsidRPr="006F51C5">
        <w:rPr>
          <w:lang w:val="ro-MD"/>
        </w:rPr>
        <w:t xml:space="preserve"> </w:t>
      </w:r>
      <w:r w:rsidR="004E116A" w:rsidRPr="004E116A">
        <w:rPr>
          <w:lang w:val="ro-MD"/>
        </w:rPr>
        <w:t>prin sistemul de</w:t>
      </w:r>
      <w:r w:rsidRPr="006F51C5">
        <w:rPr>
          <w:lang w:val="ro-MD"/>
        </w:rPr>
        <w:t xml:space="preserve"> </w:t>
      </w:r>
      <w:r>
        <w:rPr>
          <w:lang w:val="ro-MD"/>
        </w:rPr>
        <w:t>plăți instant.”</w:t>
      </w:r>
      <w:r w:rsidR="006B6C84">
        <w:rPr>
          <w:lang w:val="ro-MD"/>
        </w:rPr>
        <w:t>;</w:t>
      </w:r>
    </w:p>
    <w:p w14:paraId="256F11E3" w14:textId="256C7E57" w:rsidR="006F51C5" w:rsidRPr="00556174" w:rsidRDefault="00322917" w:rsidP="00EC58F6">
      <w:pPr>
        <w:pStyle w:val="ListParagraph"/>
        <w:numPr>
          <w:ilvl w:val="0"/>
          <w:numId w:val="14"/>
        </w:numPr>
        <w:ind w:left="709" w:hanging="283"/>
        <w:jc w:val="both"/>
        <w:rPr>
          <w:lang w:val="en-US"/>
        </w:rPr>
      </w:pPr>
      <w:r>
        <w:rPr>
          <w:lang w:val="ro-MD"/>
        </w:rPr>
        <w:t>î</w:t>
      </w:r>
      <w:r w:rsidR="00D007BC">
        <w:rPr>
          <w:lang w:val="ro-MD"/>
        </w:rPr>
        <w:t xml:space="preserve">n </w:t>
      </w:r>
      <w:r w:rsidR="005A28D0">
        <w:rPr>
          <w:lang w:val="ro-MD"/>
        </w:rPr>
        <w:t>descrierea grupei 5770 „</w:t>
      </w:r>
      <w:r w:rsidR="006B6C84" w:rsidRPr="006B6C84">
        <w:rPr>
          <w:lang w:val="ro-MD"/>
        </w:rPr>
        <w:t xml:space="preserve">Cheltuieli cu provizioane </w:t>
      </w:r>
      <w:r w:rsidR="00CE6841" w:rsidRPr="006B6C84">
        <w:rPr>
          <w:lang w:val="ro-MD"/>
        </w:rPr>
        <w:t>și</w:t>
      </w:r>
      <w:r w:rsidR="006B6C84" w:rsidRPr="006B6C84">
        <w:rPr>
          <w:lang w:val="ro-MD"/>
        </w:rPr>
        <w:t xml:space="preserve"> alte contribuţii</w:t>
      </w:r>
      <w:r w:rsidR="005A28D0">
        <w:rPr>
          <w:lang w:val="ro-MD"/>
        </w:rPr>
        <w:t>” cuvintele „</w:t>
      </w:r>
      <w:r w:rsidR="005A28D0" w:rsidRPr="005A28D0">
        <w:rPr>
          <w:lang w:val="ro-MD"/>
        </w:rPr>
        <w:t xml:space="preserve">pentru plata concediilor </w:t>
      </w:r>
      <w:r w:rsidR="00CE6841" w:rsidRPr="005A28D0">
        <w:rPr>
          <w:lang w:val="ro-MD"/>
        </w:rPr>
        <w:t>salariaților</w:t>
      </w:r>
      <w:r w:rsidR="005A28D0" w:rsidRPr="005A28D0">
        <w:rPr>
          <w:lang w:val="ro-MD"/>
        </w:rPr>
        <w:t xml:space="preserve"> băncii</w:t>
      </w:r>
      <w:r w:rsidR="005A28D0">
        <w:rPr>
          <w:lang w:val="ro-MD"/>
        </w:rPr>
        <w:t>” se substituie cu cuvintele „pentru formarea provizioanelor aferente beneficiilor angajaților băncii”.</w:t>
      </w:r>
    </w:p>
    <w:p w14:paraId="310E06F6" w14:textId="77777777" w:rsidR="00A46D26" w:rsidRPr="00A46D26" w:rsidRDefault="00A46D26" w:rsidP="00EC58F6">
      <w:pPr>
        <w:pStyle w:val="ListParagraph"/>
        <w:ind w:left="426"/>
        <w:jc w:val="both"/>
        <w:rPr>
          <w:lang w:val="ro-MD"/>
        </w:rPr>
      </w:pPr>
    </w:p>
    <w:p w14:paraId="0E8C2C3E" w14:textId="6F3C7BDB" w:rsidR="00172C16" w:rsidRDefault="006B6C84" w:rsidP="00721E89">
      <w:pPr>
        <w:pStyle w:val="ListParagraph"/>
        <w:ind w:left="0" w:firstLine="426"/>
        <w:jc w:val="both"/>
        <w:rPr>
          <w:lang w:val="ro-MD"/>
        </w:rPr>
      </w:pPr>
      <w:r>
        <w:rPr>
          <w:b/>
          <w:bCs/>
          <w:lang w:val="ro-MD"/>
        </w:rPr>
        <w:t>2</w:t>
      </w:r>
      <w:r w:rsidR="00A46D26" w:rsidRPr="00A46D26">
        <w:rPr>
          <w:b/>
          <w:bCs/>
          <w:lang w:val="ro-MD"/>
        </w:rPr>
        <w:t>.</w:t>
      </w:r>
      <w:r w:rsidR="00A46D26" w:rsidRPr="00A46D26">
        <w:rPr>
          <w:lang w:val="ro-MD"/>
        </w:rPr>
        <w:t xml:space="preserve"> </w:t>
      </w:r>
      <w:r w:rsidR="00F733F8" w:rsidRPr="00F733F8">
        <w:rPr>
          <w:lang w:val="ro-MD"/>
        </w:rPr>
        <w:t>Regulamentul cu privire la poziţia valutară deschisă a băncii, aprobat de Consiliul de administraţie al Băncii Naţionale a Moldovei, proces-verbal nr.41/1997 (Monitorul Oficial al Republicii Moldova, 1999, nr.112-114, art.198), cu modificările ulterioare, se modifică după cum urmează:</w:t>
      </w:r>
    </w:p>
    <w:p w14:paraId="0CFFDDFE" w14:textId="65F870F2" w:rsidR="00F733F8" w:rsidRPr="00F733F8" w:rsidRDefault="00F733F8" w:rsidP="00AC1C1B">
      <w:pPr>
        <w:jc w:val="both"/>
        <w:rPr>
          <w:lang w:val="ro-MD"/>
        </w:rPr>
      </w:pPr>
      <w:r w:rsidRPr="00F733F8">
        <w:rPr>
          <w:lang w:val="ro-MD"/>
        </w:rPr>
        <w:t xml:space="preserve">Anexa nr.2 </w:t>
      </w:r>
      <w:r w:rsidR="005E4FC8">
        <w:rPr>
          <w:lang w:val="ro-MD"/>
        </w:rPr>
        <w:t>„</w:t>
      </w:r>
      <w:r w:rsidRPr="00F733F8">
        <w:rPr>
          <w:lang w:val="ro-MD"/>
        </w:rPr>
        <w:t xml:space="preserve">MODUL DE ÎNTOCMIRE a raportului </w:t>
      </w:r>
      <w:r w:rsidR="005E4FC8">
        <w:rPr>
          <w:lang w:val="ro-MD"/>
        </w:rPr>
        <w:t>„</w:t>
      </w:r>
      <w:r w:rsidRPr="00F733F8">
        <w:rPr>
          <w:lang w:val="ro-MD"/>
        </w:rPr>
        <w:t>Poziţia valutară deschisă a băncii””:</w:t>
      </w:r>
    </w:p>
    <w:p w14:paraId="06D2EE4F" w14:textId="13987024" w:rsidR="00F733F8" w:rsidRPr="00F733F8" w:rsidRDefault="00F733F8" w:rsidP="00AC1C1B">
      <w:pPr>
        <w:jc w:val="both"/>
        <w:rPr>
          <w:lang w:val="ro-MD"/>
        </w:rPr>
      </w:pPr>
      <w:r w:rsidRPr="00F733F8">
        <w:rPr>
          <w:lang w:val="ro-MD"/>
        </w:rPr>
        <w:t>la punctul 7:</w:t>
      </w:r>
    </w:p>
    <w:p w14:paraId="650D063E" w14:textId="038BC243" w:rsidR="00F733F8" w:rsidRPr="00F733F8" w:rsidRDefault="00F733F8" w:rsidP="00AC1C1B">
      <w:pPr>
        <w:jc w:val="both"/>
        <w:rPr>
          <w:lang w:val="ro-MD"/>
        </w:rPr>
      </w:pPr>
      <w:r w:rsidRPr="00F733F8">
        <w:rPr>
          <w:lang w:val="ro-MD"/>
        </w:rPr>
        <w:lastRenderedPageBreak/>
        <w:t>subpunctul 1.1.8.</w:t>
      </w:r>
      <w:r w:rsidR="005E4FC8">
        <w:rPr>
          <w:lang w:val="ro-MD"/>
        </w:rPr>
        <w:t>,</w:t>
      </w:r>
      <w:r w:rsidRPr="00F733F8">
        <w:rPr>
          <w:lang w:val="ro-MD"/>
        </w:rPr>
        <w:t xml:space="preserve"> după contul </w:t>
      </w:r>
      <w:r w:rsidR="005E4FC8">
        <w:rPr>
          <w:lang w:val="ro-MD"/>
        </w:rPr>
        <w:t>„</w:t>
      </w:r>
      <w:r w:rsidRPr="00F733F8">
        <w:rPr>
          <w:lang w:val="ro-MD"/>
        </w:rPr>
        <w:t>223</w:t>
      </w:r>
      <w:r w:rsidR="005E4FC8">
        <w:rPr>
          <w:lang w:val="ro-MD"/>
        </w:rPr>
        <w:t>9</w:t>
      </w:r>
      <w:r w:rsidRPr="00F733F8">
        <w:rPr>
          <w:lang w:val="ro-MD"/>
        </w:rPr>
        <w:t xml:space="preserve">” se completează cu contul </w:t>
      </w:r>
      <w:r w:rsidR="005E4FC8">
        <w:rPr>
          <w:lang w:val="ro-MD"/>
        </w:rPr>
        <w:t>„</w:t>
      </w:r>
      <w:r w:rsidRPr="00F733F8">
        <w:rPr>
          <w:lang w:val="ro-MD"/>
        </w:rPr>
        <w:t>22</w:t>
      </w:r>
      <w:r w:rsidR="005E4FC8">
        <w:rPr>
          <w:lang w:val="ro-MD"/>
        </w:rPr>
        <w:t>41</w:t>
      </w:r>
      <w:r w:rsidRPr="00F733F8">
        <w:rPr>
          <w:lang w:val="ro-MD"/>
        </w:rPr>
        <w:t>”</w:t>
      </w:r>
      <w:r w:rsidR="005E4FC8">
        <w:rPr>
          <w:lang w:val="ro-MD"/>
        </w:rPr>
        <w:t>, iar după contul „2275” se completează cu contul „2276”</w:t>
      </w:r>
      <w:r w:rsidRPr="00F733F8">
        <w:rPr>
          <w:lang w:val="ro-MD"/>
        </w:rPr>
        <w:t>;</w:t>
      </w:r>
    </w:p>
    <w:p w14:paraId="499CC4E3" w14:textId="512F7B08" w:rsidR="005E4FC8" w:rsidRPr="00F733F8" w:rsidRDefault="005E4FC8" w:rsidP="005E4FC8">
      <w:pPr>
        <w:jc w:val="both"/>
        <w:rPr>
          <w:lang w:val="ro-MD"/>
        </w:rPr>
      </w:pPr>
      <w:r w:rsidRPr="00F733F8">
        <w:rPr>
          <w:lang w:val="ro-MD"/>
        </w:rPr>
        <w:t>subpunctul 1.1.</w:t>
      </w:r>
      <w:r>
        <w:rPr>
          <w:lang w:val="ro-MD"/>
        </w:rPr>
        <w:t>10</w:t>
      </w:r>
      <w:r w:rsidRPr="00F733F8">
        <w:rPr>
          <w:lang w:val="ro-MD"/>
        </w:rPr>
        <w:t>.</w:t>
      </w:r>
      <w:r>
        <w:rPr>
          <w:lang w:val="ro-MD"/>
        </w:rPr>
        <w:t>,</w:t>
      </w:r>
      <w:r w:rsidRPr="00F733F8">
        <w:rPr>
          <w:lang w:val="ro-MD"/>
        </w:rPr>
        <w:t xml:space="preserve"> după contul </w:t>
      </w:r>
      <w:r>
        <w:rPr>
          <w:lang w:val="ro-MD"/>
        </w:rPr>
        <w:t>„</w:t>
      </w:r>
      <w:r w:rsidRPr="00F733F8">
        <w:rPr>
          <w:lang w:val="ro-MD"/>
        </w:rPr>
        <w:t>22</w:t>
      </w:r>
      <w:r>
        <w:rPr>
          <w:lang w:val="ro-MD"/>
        </w:rPr>
        <w:t>26</w:t>
      </w:r>
      <w:r w:rsidRPr="00F733F8">
        <w:rPr>
          <w:lang w:val="ro-MD"/>
        </w:rPr>
        <w:t xml:space="preserve">” se completează cu contul </w:t>
      </w:r>
      <w:r>
        <w:rPr>
          <w:lang w:val="ro-MD"/>
        </w:rPr>
        <w:t>„</w:t>
      </w:r>
      <w:r w:rsidRPr="00F733F8">
        <w:rPr>
          <w:lang w:val="ro-MD"/>
        </w:rPr>
        <w:t>22</w:t>
      </w:r>
      <w:r>
        <w:rPr>
          <w:lang w:val="ro-MD"/>
        </w:rPr>
        <w:t>42</w:t>
      </w:r>
      <w:r w:rsidRPr="00F733F8">
        <w:rPr>
          <w:lang w:val="ro-MD"/>
        </w:rPr>
        <w:t>”</w:t>
      </w:r>
      <w:r>
        <w:rPr>
          <w:lang w:val="ro-MD"/>
        </w:rPr>
        <w:t>.</w:t>
      </w:r>
    </w:p>
    <w:p w14:paraId="0F27D744" w14:textId="77777777" w:rsidR="00172C16" w:rsidRPr="005E4FC8" w:rsidRDefault="00172C16" w:rsidP="00AC1C1B">
      <w:pPr>
        <w:jc w:val="both"/>
        <w:rPr>
          <w:lang w:val="ro-MD"/>
        </w:rPr>
      </w:pPr>
    </w:p>
    <w:p w14:paraId="022DC883" w14:textId="7469E774" w:rsidR="006F51C5" w:rsidRPr="00FA4486" w:rsidRDefault="00172C16" w:rsidP="00721E89">
      <w:pPr>
        <w:pStyle w:val="ListParagraph"/>
        <w:ind w:left="0" w:firstLine="426"/>
        <w:jc w:val="both"/>
        <w:rPr>
          <w:lang w:val="ro-MD"/>
        </w:rPr>
      </w:pPr>
      <w:r w:rsidRPr="00AC1C1B">
        <w:rPr>
          <w:b/>
          <w:bCs/>
          <w:lang w:val="ro-MD"/>
        </w:rPr>
        <w:t>3.</w:t>
      </w:r>
      <w:r>
        <w:rPr>
          <w:lang w:val="ro-MD"/>
        </w:rPr>
        <w:t xml:space="preserve"> </w:t>
      </w:r>
      <w:r w:rsidR="00A46D26" w:rsidRPr="00A46D26">
        <w:rPr>
          <w:lang w:val="ro-MD"/>
        </w:rPr>
        <w:t>Prezenta hotăr</w:t>
      </w:r>
      <w:r w:rsidR="00A46D26">
        <w:rPr>
          <w:lang w:val="ro-MD"/>
        </w:rPr>
        <w:t>â</w:t>
      </w:r>
      <w:r w:rsidR="00A46D26" w:rsidRPr="00A46D26">
        <w:rPr>
          <w:lang w:val="ro-MD"/>
        </w:rPr>
        <w:t xml:space="preserve">re intră în vigoare </w:t>
      </w:r>
      <w:r w:rsidR="002954C1" w:rsidRPr="00A46D26">
        <w:rPr>
          <w:lang w:val="ro-MD"/>
        </w:rPr>
        <w:t>la expirarea a 30 zile de la data publicării în Monitorul Oficial al Republicii Moldova.</w:t>
      </w:r>
      <w:r w:rsidR="00A46D26" w:rsidRPr="00A46D26">
        <w:rPr>
          <w:lang w:val="ro-MD"/>
        </w:rPr>
        <w:t xml:space="preserve"> </w:t>
      </w:r>
    </w:p>
    <w:p w14:paraId="31720575" w14:textId="77777777" w:rsidR="002954C1" w:rsidRPr="00FA4486" w:rsidRDefault="002954C1" w:rsidP="00721E89">
      <w:pPr>
        <w:pStyle w:val="ListParagraph"/>
        <w:ind w:left="0" w:firstLine="426"/>
        <w:jc w:val="both"/>
        <w:rPr>
          <w:lang w:val="ro-MD"/>
        </w:rPr>
      </w:pPr>
    </w:p>
    <w:sectPr w:rsidR="002954C1" w:rsidRPr="00FA4486" w:rsidSect="00372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AAAAA" w14:textId="77777777" w:rsidR="00890DC9" w:rsidRDefault="00890DC9" w:rsidP="005A4C61">
      <w:r>
        <w:separator/>
      </w:r>
    </w:p>
  </w:endnote>
  <w:endnote w:type="continuationSeparator" w:id="0">
    <w:p w14:paraId="409A381C" w14:textId="77777777" w:rsidR="00890DC9" w:rsidRDefault="00890DC9" w:rsidP="005A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FFF6" w14:textId="38070D13" w:rsidR="00C2459F" w:rsidRDefault="00C2459F" w:rsidP="00C2459F">
    <w:pPr>
      <w:pStyle w:val="Footer"/>
      <w:jc w:val="right"/>
    </w:pPr>
  </w:p>
  <w:p w14:paraId="18092083" w14:textId="58A3075E" w:rsidR="00372A9F" w:rsidRDefault="00890DC9" w:rsidP="00372A9F">
    <w:pPr>
      <w:pStyle w:val="Footer"/>
      <w:jc w:val="right"/>
    </w:pPr>
    <w:sdt>
      <w:sdtPr>
        <w:id w:val="379395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72A9F">
          <w:fldChar w:fldCharType="begin"/>
        </w:r>
        <w:r w:rsidR="00372A9F">
          <w:instrText xml:space="preserve"> PAGE   \* MERGEFORMAT </w:instrText>
        </w:r>
        <w:r w:rsidR="00372A9F">
          <w:fldChar w:fldCharType="separate"/>
        </w:r>
        <w:r w:rsidR="00C2459F">
          <w:rPr>
            <w:noProof/>
          </w:rPr>
          <w:t>4</w:t>
        </w:r>
        <w:r w:rsidR="00372A9F">
          <w:rPr>
            <w:noProof/>
          </w:rPr>
          <w:fldChar w:fldCharType="end"/>
        </w:r>
      </w:sdtContent>
    </w:sdt>
  </w:p>
  <w:p w14:paraId="3130EED9" w14:textId="77777777" w:rsidR="00372A9F" w:rsidRDefault="00372A9F" w:rsidP="00372A9F">
    <w:pPr>
      <w:pStyle w:val="Footer"/>
    </w:pPr>
  </w:p>
  <w:p w14:paraId="3D47C995" w14:textId="77777777" w:rsidR="00446BFC" w:rsidRDefault="00446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6E29" w14:textId="4AB334D9" w:rsidR="00C2459F" w:rsidRDefault="00C2459F" w:rsidP="00C2459F">
    <w:pPr>
      <w:pStyle w:val="Footer"/>
      <w:jc w:val="right"/>
    </w:pPr>
  </w:p>
  <w:p w14:paraId="450DA082" w14:textId="250ABAC2" w:rsidR="00A16CD2" w:rsidRDefault="00890DC9">
    <w:pPr>
      <w:pStyle w:val="Footer"/>
      <w:jc w:val="right"/>
    </w:pPr>
    <w:sdt>
      <w:sdtPr>
        <w:id w:val="10007727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16CD2">
          <w:fldChar w:fldCharType="begin"/>
        </w:r>
        <w:r w:rsidR="00A16CD2">
          <w:instrText xml:space="preserve"> PAGE   \* MERGEFORMAT </w:instrText>
        </w:r>
        <w:r w:rsidR="00A16CD2">
          <w:fldChar w:fldCharType="separate"/>
        </w:r>
        <w:r w:rsidR="00C2459F">
          <w:rPr>
            <w:noProof/>
          </w:rPr>
          <w:t>1</w:t>
        </w:r>
        <w:r w:rsidR="00A16CD2">
          <w:rPr>
            <w:noProof/>
          </w:rPr>
          <w:fldChar w:fldCharType="end"/>
        </w:r>
      </w:sdtContent>
    </w:sdt>
  </w:p>
  <w:p w14:paraId="36D37A16" w14:textId="77777777" w:rsidR="00446BFC" w:rsidRDefault="00446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9164C" w14:textId="77777777" w:rsidR="00A16CD2" w:rsidRDefault="00A16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4A252" w14:textId="77777777" w:rsidR="00890DC9" w:rsidRDefault="00890DC9" w:rsidP="005A4C61">
      <w:r>
        <w:separator/>
      </w:r>
    </w:p>
  </w:footnote>
  <w:footnote w:type="continuationSeparator" w:id="0">
    <w:p w14:paraId="1046D83F" w14:textId="77777777" w:rsidR="00890DC9" w:rsidRDefault="00890DC9" w:rsidP="005A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5219F" w14:textId="1F56F4A3" w:rsidR="00372A9F" w:rsidRDefault="00372A9F" w:rsidP="00C2459F">
    <w:pPr>
      <w:pStyle w:val="Header"/>
    </w:pPr>
  </w:p>
  <w:p w14:paraId="5B47BB02" w14:textId="77777777" w:rsidR="00446BFC" w:rsidRDefault="00446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F50CC" w14:textId="6F9CD33A" w:rsidR="00446BFC" w:rsidRDefault="00446BFC" w:rsidP="00C24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BAE6" w14:textId="77777777" w:rsidR="00A16CD2" w:rsidRDefault="00A16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9D9"/>
    <w:multiLevelType w:val="hybridMultilevel"/>
    <w:tmpl w:val="096CF554"/>
    <w:lvl w:ilvl="0" w:tplc="08180017">
      <w:start w:val="1"/>
      <w:numFmt w:val="lowerLetter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E3DD3"/>
    <w:multiLevelType w:val="hybridMultilevel"/>
    <w:tmpl w:val="9F26D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034C"/>
    <w:multiLevelType w:val="hybridMultilevel"/>
    <w:tmpl w:val="985EDBC0"/>
    <w:lvl w:ilvl="0" w:tplc="49F0EE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51766"/>
    <w:multiLevelType w:val="hybridMultilevel"/>
    <w:tmpl w:val="1534E2F0"/>
    <w:lvl w:ilvl="0" w:tplc="967C8E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20AB3"/>
    <w:multiLevelType w:val="hybridMultilevel"/>
    <w:tmpl w:val="7C789D8E"/>
    <w:lvl w:ilvl="0" w:tplc="DCA68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17D84"/>
    <w:multiLevelType w:val="hybridMultilevel"/>
    <w:tmpl w:val="2A1AA056"/>
    <w:lvl w:ilvl="0" w:tplc="483A4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6580F"/>
    <w:multiLevelType w:val="hybridMultilevel"/>
    <w:tmpl w:val="2DD0CFBC"/>
    <w:lvl w:ilvl="0" w:tplc="C3004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5145C"/>
    <w:multiLevelType w:val="hybridMultilevel"/>
    <w:tmpl w:val="2DEC179A"/>
    <w:lvl w:ilvl="0" w:tplc="BAAE1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1405AC"/>
    <w:multiLevelType w:val="hybridMultilevel"/>
    <w:tmpl w:val="9F26D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63C7A"/>
    <w:multiLevelType w:val="hybridMultilevel"/>
    <w:tmpl w:val="EBCA6050"/>
    <w:lvl w:ilvl="0" w:tplc="67909A16">
      <w:start w:val="224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8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28D26EA"/>
    <w:multiLevelType w:val="hybridMultilevel"/>
    <w:tmpl w:val="489ACAF0"/>
    <w:lvl w:ilvl="0" w:tplc="5BDEE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AC770B"/>
    <w:multiLevelType w:val="hybridMultilevel"/>
    <w:tmpl w:val="D4D6AC08"/>
    <w:lvl w:ilvl="0" w:tplc="C15450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7B399E"/>
    <w:multiLevelType w:val="hybridMultilevel"/>
    <w:tmpl w:val="04BE3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23CEE"/>
    <w:multiLevelType w:val="hybridMultilevel"/>
    <w:tmpl w:val="4EB02668"/>
    <w:lvl w:ilvl="0" w:tplc="08180017">
      <w:start w:val="1"/>
      <w:numFmt w:val="lowerLetter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FC464A"/>
    <w:multiLevelType w:val="hybridMultilevel"/>
    <w:tmpl w:val="C3A4F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02F54"/>
    <w:multiLevelType w:val="hybridMultilevel"/>
    <w:tmpl w:val="2A1AA056"/>
    <w:lvl w:ilvl="0" w:tplc="483A44B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12"/>
  </w:num>
  <w:num w:numId="10">
    <w:abstractNumId w:val="8"/>
  </w:num>
  <w:num w:numId="11">
    <w:abstractNumId w:val="4"/>
  </w:num>
  <w:num w:numId="12">
    <w:abstractNumId w:val="1"/>
  </w:num>
  <w:num w:numId="13">
    <w:abstractNumId w:val="14"/>
  </w:num>
  <w:num w:numId="14">
    <w:abstractNumId w:val="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38"/>
    <w:rsid w:val="0000160D"/>
    <w:rsid w:val="0000437D"/>
    <w:rsid w:val="00006A3F"/>
    <w:rsid w:val="0004713C"/>
    <w:rsid w:val="000502F4"/>
    <w:rsid w:val="00051FEC"/>
    <w:rsid w:val="00060D58"/>
    <w:rsid w:val="00064C81"/>
    <w:rsid w:val="0007362B"/>
    <w:rsid w:val="00082AD2"/>
    <w:rsid w:val="000855EC"/>
    <w:rsid w:val="000873C1"/>
    <w:rsid w:val="000934D9"/>
    <w:rsid w:val="00093C94"/>
    <w:rsid w:val="000A170D"/>
    <w:rsid w:val="000A5C3F"/>
    <w:rsid w:val="000A678F"/>
    <w:rsid w:val="000A6BA5"/>
    <w:rsid w:val="000B2526"/>
    <w:rsid w:val="000C04D5"/>
    <w:rsid w:val="000C0899"/>
    <w:rsid w:val="000C549A"/>
    <w:rsid w:val="000D3B25"/>
    <w:rsid w:val="000D3DAC"/>
    <w:rsid w:val="000E2403"/>
    <w:rsid w:val="000E2A37"/>
    <w:rsid w:val="000F271B"/>
    <w:rsid w:val="000F68C7"/>
    <w:rsid w:val="000F6FAB"/>
    <w:rsid w:val="000F78A5"/>
    <w:rsid w:val="00103032"/>
    <w:rsid w:val="001205EE"/>
    <w:rsid w:val="00126A84"/>
    <w:rsid w:val="00132005"/>
    <w:rsid w:val="001464A7"/>
    <w:rsid w:val="001470C3"/>
    <w:rsid w:val="001642A2"/>
    <w:rsid w:val="00164AE3"/>
    <w:rsid w:val="0016654E"/>
    <w:rsid w:val="00172C16"/>
    <w:rsid w:val="001745DE"/>
    <w:rsid w:val="001752AB"/>
    <w:rsid w:val="00187211"/>
    <w:rsid w:val="00193F22"/>
    <w:rsid w:val="00194108"/>
    <w:rsid w:val="00197C8A"/>
    <w:rsid w:val="001A4337"/>
    <w:rsid w:val="001A787E"/>
    <w:rsid w:val="001C0AEF"/>
    <w:rsid w:val="001C3EE7"/>
    <w:rsid w:val="001C4418"/>
    <w:rsid w:val="001C6BD5"/>
    <w:rsid w:val="001D32F8"/>
    <w:rsid w:val="001D51E5"/>
    <w:rsid w:val="001E2612"/>
    <w:rsid w:val="001E68C4"/>
    <w:rsid w:val="001F51CC"/>
    <w:rsid w:val="001F75C3"/>
    <w:rsid w:val="00210F48"/>
    <w:rsid w:val="002204B8"/>
    <w:rsid w:val="0023070F"/>
    <w:rsid w:val="002320C2"/>
    <w:rsid w:val="00244C44"/>
    <w:rsid w:val="0025160A"/>
    <w:rsid w:val="00267E0C"/>
    <w:rsid w:val="00272007"/>
    <w:rsid w:val="00272C0B"/>
    <w:rsid w:val="00286C7A"/>
    <w:rsid w:val="002954C1"/>
    <w:rsid w:val="002A3E0C"/>
    <w:rsid w:val="002A7BC6"/>
    <w:rsid w:val="002B4CD9"/>
    <w:rsid w:val="002B6FE8"/>
    <w:rsid w:val="002B76CA"/>
    <w:rsid w:val="002C2D2C"/>
    <w:rsid w:val="002D5728"/>
    <w:rsid w:val="002F4396"/>
    <w:rsid w:val="0030488E"/>
    <w:rsid w:val="0030648E"/>
    <w:rsid w:val="00322917"/>
    <w:rsid w:val="00322AB6"/>
    <w:rsid w:val="0032565E"/>
    <w:rsid w:val="00330B71"/>
    <w:rsid w:val="003338F4"/>
    <w:rsid w:val="00334F52"/>
    <w:rsid w:val="00337D2C"/>
    <w:rsid w:val="00341B39"/>
    <w:rsid w:val="00371DCC"/>
    <w:rsid w:val="00372A9F"/>
    <w:rsid w:val="00377FCD"/>
    <w:rsid w:val="003828A1"/>
    <w:rsid w:val="00393EB8"/>
    <w:rsid w:val="003A44DE"/>
    <w:rsid w:val="003B0FE1"/>
    <w:rsid w:val="003C1221"/>
    <w:rsid w:val="003C1885"/>
    <w:rsid w:val="003D216C"/>
    <w:rsid w:val="003D7B37"/>
    <w:rsid w:val="003F396B"/>
    <w:rsid w:val="00402F26"/>
    <w:rsid w:val="004042DC"/>
    <w:rsid w:val="00404484"/>
    <w:rsid w:val="004203A0"/>
    <w:rsid w:val="00421A35"/>
    <w:rsid w:val="00432E91"/>
    <w:rsid w:val="00443246"/>
    <w:rsid w:val="00446BFC"/>
    <w:rsid w:val="004500BD"/>
    <w:rsid w:val="004539D3"/>
    <w:rsid w:val="00453A7B"/>
    <w:rsid w:val="00454B63"/>
    <w:rsid w:val="00454E9C"/>
    <w:rsid w:val="00482B4B"/>
    <w:rsid w:val="00490664"/>
    <w:rsid w:val="004934DF"/>
    <w:rsid w:val="004A70BC"/>
    <w:rsid w:val="004B5A18"/>
    <w:rsid w:val="004C5455"/>
    <w:rsid w:val="004C5C01"/>
    <w:rsid w:val="004C74DD"/>
    <w:rsid w:val="004D05D5"/>
    <w:rsid w:val="004E116A"/>
    <w:rsid w:val="004E1E60"/>
    <w:rsid w:val="004E5CC6"/>
    <w:rsid w:val="004E7BF5"/>
    <w:rsid w:val="00501C96"/>
    <w:rsid w:val="00511C64"/>
    <w:rsid w:val="005170F4"/>
    <w:rsid w:val="005218DF"/>
    <w:rsid w:val="00525844"/>
    <w:rsid w:val="00543E9B"/>
    <w:rsid w:val="00545856"/>
    <w:rsid w:val="00556174"/>
    <w:rsid w:val="0057190D"/>
    <w:rsid w:val="00572C9C"/>
    <w:rsid w:val="0058153A"/>
    <w:rsid w:val="00590A56"/>
    <w:rsid w:val="005945E3"/>
    <w:rsid w:val="00597141"/>
    <w:rsid w:val="005A28D0"/>
    <w:rsid w:val="005A2E46"/>
    <w:rsid w:val="005A382E"/>
    <w:rsid w:val="005A4C61"/>
    <w:rsid w:val="005A7B4E"/>
    <w:rsid w:val="005C0AF2"/>
    <w:rsid w:val="005C1DF0"/>
    <w:rsid w:val="005E4FC8"/>
    <w:rsid w:val="005F0B6C"/>
    <w:rsid w:val="005F5E84"/>
    <w:rsid w:val="0060342C"/>
    <w:rsid w:val="00604F7D"/>
    <w:rsid w:val="00623EF7"/>
    <w:rsid w:val="0063028D"/>
    <w:rsid w:val="00631AB4"/>
    <w:rsid w:val="006342D5"/>
    <w:rsid w:val="00636BF5"/>
    <w:rsid w:val="00657885"/>
    <w:rsid w:val="006621FA"/>
    <w:rsid w:val="0066441C"/>
    <w:rsid w:val="00664BAD"/>
    <w:rsid w:val="00666A7E"/>
    <w:rsid w:val="0067391D"/>
    <w:rsid w:val="006757DB"/>
    <w:rsid w:val="00687A06"/>
    <w:rsid w:val="0069550E"/>
    <w:rsid w:val="00695F83"/>
    <w:rsid w:val="006A2372"/>
    <w:rsid w:val="006B0D4C"/>
    <w:rsid w:val="006B6C84"/>
    <w:rsid w:val="006C3121"/>
    <w:rsid w:val="006C3464"/>
    <w:rsid w:val="006E0138"/>
    <w:rsid w:val="006F1813"/>
    <w:rsid w:val="006F3ADD"/>
    <w:rsid w:val="006F51C5"/>
    <w:rsid w:val="007032DC"/>
    <w:rsid w:val="00703AD5"/>
    <w:rsid w:val="00720441"/>
    <w:rsid w:val="00721E89"/>
    <w:rsid w:val="00723D28"/>
    <w:rsid w:val="0074292E"/>
    <w:rsid w:val="00746A68"/>
    <w:rsid w:val="00762D5E"/>
    <w:rsid w:val="00766202"/>
    <w:rsid w:val="00775A39"/>
    <w:rsid w:val="007945BA"/>
    <w:rsid w:val="007967CA"/>
    <w:rsid w:val="007A1D5A"/>
    <w:rsid w:val="007B057F"/>
    <w:rsid w:val="007B1BDB"/>
    <w:rsid w:val="007B3A9F"/>
    <w:rsid w:val="007B4E9C"/>
    <w:rsid w:val="007B5CE4"/>
    <w:rsid w:val="007C5630"/>
    <w:rsid w:val="007C62B1"/>
    <w:rsid w:val="007E04C6"/>
    <w:rsid w:val="007E5FEA"/>
    <w:rsid w:val="007E727F"/>
    <w:rsid w:val="00800BE8"/>
    <w:rsid w:val="008022DD"/>
    <w:rsid w:val="00806549"/>
    <w:rsid w:val="008073C2"/>
    <w:rsid w:val="00822FA7"/>
    <w:rsid w:val="00825720"/>
    <w:rsid w:val="00827E4A"/>
    <w:rsid w:val="00830051"/>
    <w:rsid w:val="0083497F"/>
    <w:rsid w:val="00844616"/>
    <w:rsid w:val="00844947"/>
    <w:rsid w:val="00865B9B"/>
    <w:rsid w:val="00875D83"/>
    <w:rsid w:val="00876E76"/>
    <w:rsid w:val="008878C1"/>
    <w:rsid w:val="00890DC9"/>
    <w:rsid w:val="0089449E"/>
    <w:rsid w:val="008B703F"/>
    <w:rsid w:val="008C1105"/>
    <w:rsid w:val="008C35A5"/>
    <w:rsid w:val="008C36A1"/>
    <w:rsid w:val="008C55C5"/>
    <w:rsid w:val="008C685C"/>
    <w:rsid w:val="008C6EEF"/>
    <w:rsid w:val="008E73D0"/>
    <w:rsid w:val="00910DE8"/>
    <w:rsid w:val="00913F73"/>
    <w:rsid w:val="00916D01"/>
    <w:rsid w:val="00923AEA"/>
    <w:rsid w:val="00924623"/>
    <w:rsid w:val="009274BD"/>
    <w:rsid w:val="00937428"/>
    <w:rsid w:val="00937544"/>
    <w:rsid w:val="009378A2"/>
    <w:rsid w:val="00950865"/>
    <w:rsid w:val="009510D6"/>
    <w:rsid w:val="00951B2C"/>
    <w:rsid w:val="00951C96"/>
    <w:rsid w:val="00966C5F"/>
    <w:rsid w:val="009739D9"/>
    <w:rsid w:val="00976457"/>
    <w:rsid w:val="0098007A"/>
    <w:rsid w:val="00981454"/>
    <w:rsid w:val="00983BF1"/>
    <w:rsid w:val="0098622A"/>
    <w:rsid w:val="009971DD"/>
    <w:rsid w:val="0099755E"/>
    <w:rsid w:val="009A3C73"/>
    <w:rsid w:val="009B1E85"/>
    <w:rsid w:val="009C476C"/>
    <w:rsid w:val="009D1F8D"/>
    <w:rsid w:val="009D31B7"/>
    <w:rsid w:val="009D3E48"/>
    <w:rsid w:val="009D42AD"/>
    <w:rsid w:val="009E22E0"/>
    <w:rsid w:val="009E529F"/>
    <w:rsid w:val="009F3953"/>
    <w:rsid w:val="009F6D4F"/>
    <w:rsid w:val="009F70A5"/>
    <w:rsid w:val="00A12953"/>
    <w:rsid w:val="00A15E10"/>
    <w:rsid w:val="00A16CD2"/>
    <w:rsid w:val="00A235EF"/>
    <w:rsid w:val="00A30AB0"/>
    <w:rsid w:val="00A31627"/>
    <w:rsid w:val="00A44267"/>
    <w:rsid w:val="00A46D26"/>
    <w:rsid w:val="00A470EA"/>
    <w:rsid w:val="00A57315"/>
    <w:rsid w:val="00A74081"/>
    <w:rsid w:val="00A76D4E"/>
    <w:rsid w:val="00A8075F"/>
    <w:rsid w:val="00A92692"/>
    <w:rsid w:val="00AA7232"/>
    <w:rsid w:val="00AB07C2"/>
    <w:rsid w:val="00AB6B25"/>
    <w:rsid w:val="00AC1C1B"/>
    <w:rsid w:val="00AC56C4"/>
    <w:rsid w:val="00AD0FAE"/>
    <w:rsid w:val="00AD4728"/>
    <w:rsid w:val="00AE23D7"/>
    <w:rsid w:val="00AE4598"/>
    <w:rsid w:val="00AF2B6A"/>
    <w:rsid w:val="00AF61BB"/>
    <w:rsid w:val="00B07099"/>
    <w:rsid w:val="00B07BB7"/>
    <w:rsid w:val="00B27423"/>
    <w:rsid w:val="00B36D91"/>
    <w:rsid w:val="00B37525"/>
    <w:rsid w:val="00B44F46"/>
    <w:rsid w:val="00B56AF6"/>
    <w:rsid w:val="00B610D3"/>
    <w:rsid w:val="00B73F9A"/>
    <w:rsid w:val="00B7513B"/>
    <w:rsid w:val="00B82F47"/>
    <w:rsid w:val="00B84D88"/>
    <w:rsid w:val="00B87DB1"/>
    <w:rsid w:val="00B91579"/>
    <w:rsid w:val="00BA1FBB"/>
    <w:rsid w:val="00BB28FC"/>
    <w:rsid w:val="00BC0C22"/>
    <w:rsid w:val="00BC2BF7"/>
    <w:rsid w:val="00BC7161"/>
    <w:rsid w:val="00BD4164"/>
    <w:rsid w:val="00BD5458"/>
    <w:rsid w:val="00BD587B"/>
    <w:rsid w:val="00BD5E96"/>
    <w:rsid w:val="00BE1A4A"/>
    <w:rsid w:val="00BE487D"/>
    <w:rsid w:val="00C03923"/>
    <w:rsid w:val="00C07EAB"/>
    <w:rsid w:val="00C10D1C"/>
    <w:rsid w:val="00C12361"/>
    <w:rsid w:val="00C157FC"/>
    <w:rsid w:val="00C2105F"/>
    <w:rsid w:val="00C2459F"/>
    <w:rsid w:val="00C27639"/>
    <w:rsid w:val="00C33724"/>
    <w:rsid w:val="00C60065"/>
    <w:rsid w:val="00C60182"/>
    <w:rsid w:val="00C606A3"/>
    <w:rsid w:val="00C613E1"/>
    <w:rsid w:val="00C71DCD"/>
    <w:rsid w:val="00C823EB"/>
    <w:rsid w:val="00C84A1B"/>
    <w:rsid w:val="00C96138"/>
    <w:rsid w:val="00C9712D"/>
    <w:rsid w:val="00CA24D0"/>
    <w:rsid w:val="00CB3DE3"/>
    <w:rsid w:val="00CB531F"/>
    <w:rsid w:val="00CC0ED9"/>
    <w:rsid w:val="00CC45E0"/>
    <w:rsid w:val="00CC7DCA"/>
    <w:rsid w:val="00CD5900"/>
    <w:rsid w:val="00CE1EC3"/>
    <w:rsid w:val="00CE20C0"/>
    <w:rsid w:val="00CE2B00"/>
    <w:rsid w:val="00CE6841"/>
    <w:rsid w:val="00D007BC"/>
    <w:rsid w:val="00D11348"/>
    <w:rsid w:val="00D1322C"/>
    <w:rsid w:val="00D23C1A"/>
    <w:rsid w:val="00D43351"/>
    <w:rsid w:val="00D43D1D"/>
    <w:rsid w:val="00D534BD"/>
    <w:rsid w:val="00D548E7"/>
    <w:rsid w:val="00D77B28"/>
    <w:rsid w:val="00D85D8F"/>
    <w:rsid w:val="00D8637B"/>
    <w:rsid w:val="00D865A4"/>
    <w:rsid w:val="00D87581"/>
    <w:rsid w:val="00D92065"/>
    <w:rsid w:val="00D97432"/>
    <w:rsid w:val="00DA55EA"/>
    <w:rsid w:val="00DA66C7"/>
    <w:rsid w:val="00DB35C7"/>
    <w:rsid w:val="00DB59A3"/>
    <w:rsid w:val="00DB65E3"/>
    <w:rsid w:val="00DB7051"/>
    <w:rsid w:val="00DC35F7"/>
    <w:rsid w:val="00DC39AA"/>
    <w:rsid w:val="00DC4FCF"/>
    <w:rsid w:val="00DF29AC"/>
    <w:rsid w:val="00E10D89"/>
    <w:rsid w:val="00E144C8"/>
    <w:rsid w:val="00E25641"/>
    <w:rsid w:val="00E40E01"/>
    <w:rsid w:val="00E40E95"/>
    <w:rsid w:val="00E4672B"/>
    <w:rsid w:val="00E46D45"/>
    <w:rsid w:val="00E53B47"/>
    <w:rsid w:val="00E56D37"/>
    <w:rsid w:val="00E616CA"/>
    <w:rsid w:val="00E64475"/>
    <w:rsid w:val="00E66BF5"/>
    <w:rsid w:val="00E73E39"/>
    <w:rsid w:val="00E751C8"/>
    <w:rsid w:val="00E851A4"/>
    <w:rsid w:val="00E87FC8"/>
    <w:rsid w:val="00E97564"/>
    <w:rsid w:val="00E97D11"/>
    <w:rsid w:val="00EA03B1"/>
    <w:rsid w:val="00EA0FFF"/>
    <w:rsid w:val="00EA230E"/>
    <w:rsid w:val="00EA6AB4"/>
    <w:rsid w:val="00EB4FCE"/>
    <w:rsid w:val="00EB5BC5"/>
    <w:rsid w:val="00EC58F6"/>
    <w:rsid w:val="00EC6629"/>
    <w:rsid w:val="00ED0376"/>
    <w:rsid w:val="00ED7C98"/>
    <w:rsid w:val="00EE4E01"/>
    <w:rsid w:val="00EF0530"/>
    <w:rsid w:val="00F00492"/>
    <w:rsid w:val="00F26AD2"/>
    <w:rsid w:val="00F31F9B"/>
    <w:rsid w:val="00F40B6F"/>
    <w:rsid w:val="00F41023"/>
    <w:rsid w:val="00F501BD"/>
    <w:rsid w:val="00F554C0"/>
    <w:rsid w:val="00F60E1E"/>
    <w:rsid w:val="00F62807"/>
    <w:rsid w:val="00F6346B"/>
    <w:rsid w:val="00F65389"/>
    <w:rsid w:val="00F733F8"/>
    <w:rsid w:val="00F74D9B"/>
    <w:rsid w:val="00F7613C"/>
    <w:rsid w:val="00F814F7"/>
    <w:rsid w:val="00F83C38"/>
    <w:rsid w:val="00F85E8E"/>
    <w:rsid w:val="00F86106"/>
    <w:rsid w:val="00F868DD"/>
    <w:rsid w:val="00F93ABB"/>
    <w:rsid w:val="00FA4486"/>
    <w:rsid w:val="00FC2FB8"/>
    <w:rsid w:val="00FC75BD"/>
    <w:rsid w:val="00FD054C"/>
    <w:rsid w:val="00FD0C59"/>
    <w:rsid w:val="00FD3691"/>
    <w:rsid w:val="00FD7ECB"/>
    <w:rsid w:val="00FE1EF4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4D4A76"/>
  <w15:chartTrackingRefBased/>
  <w15:docId w15:val="{BD83B1A7-0BFB-4160-A11B-B44D53C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83C38"/>
    <w:pPr>
      <w:keepNext/>
      <w:jc w:val="center"/>
      <w:outlineLvl w:val="1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C38"/>
    <w:rPr>
      <w:rFonts w:ascii="Times New Roman" w:eastAsia="Times New Roman" w:hAnsi="Times New Roman" w:cs="Times New Roman"/>
      <w:b/>
      <w:sz w:val="28"/>
      <w:szCs w:val="24"/>
      <w:lang w:val="ro-RO"/>
    </w:rPr>
  </w:style>
  <w:style w:type="paragraph" w:styleId="Title">
    <w:name w:val="Title"/>
    <w:basedOn w:val="Normal"/>
    <w:link w:val="TitleChar"/>
    <w:qFormat/>
    <w:rsid w:val="00F83C3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F83C38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NormalWeb">
    <w:name w:val="Normal (Web)"/>
    <w:basedOn w:val="Normal"/>
    <w:uiPriority w:val="99"/>
    <w:rsid w:val="00F83C38"/>
    <w:pPr>
      <w:ind w:firstLine="567"/>
      <w:jc w:val="both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F83C38"/>
    <w:pPr>
      <w:ind w:left="720"/>
      <w:contextualSpacing/>
    </w:pPr>
  </w:style>
  <w:style w:type="paragraph" w:customStyle="1" w:styleId="tt">
    <w:name w:val="tt"/>
    <w:basedOn w:val="Normal"/>
    <w:rsid w:val="00F83C38"/>
    <w:pPr>
      <w:spacing w:before="100" w:beforeAutospacing="1" w:after="100" w:afterAutospacing="1"/>
    </w:pPr>
    <w:rPr>
      <w:lang w:val="en-US"/>
    </w:rPr>
  </w:style>
  <w:style w:type="paragraph" w:customStyle="1" w:styleId="cn">
    <w:name w:val="cn"/>
    <w:basedOn w:val="Normal"/>
    <w:rsid w:val="00F83C38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DC4FCF"/>
    <w:rPr>
      <w:b/>
      <w:bCs/>
    </w:rPr>
  </w:style>
  <w:style w:type="character" w:styleId="Emphasis">
    <w:name w:val="Emphasis"/>
    <w:basedOn w:val="DefaultParagraphFont"/>
    <w:uiPriority w:val="20"/>
    <w:qFormat/>
    <w:rsid w:val="00DC4FCF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5A4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C6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C6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61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A4C6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C6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4C6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C6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C15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g">
    <w:name w:val="rg"/>
    <w:basedOn w:val="Normal"/>
    <w:rsid w:val="00172C16"/>
    <w:pPr>
      <w:spacing w:before="100" w:beforeAutospacing="1" w:after="100" w:afterAutospacing="1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7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3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0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8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EA8E-86B1-44C8-9BD2-35807F92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2023-12-12T22:23:00Z</cp:lastPrinted>
  <dcterms:created xsi:type="dcterms:W3CDTF">2023-12-12T22:24:00Z</dcterms:created>
  <dcterms:modified xsi:type="dcterms:W3CDTF">2023-12-12T22:24:00Z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4f95d880-c205-4d93-a22d-fed9896bbfb6</vt:lpwstr>
  </property>
  <property fmtid="{D5CDD505-2E9C-101B-9397-08002B2CF9AE}" pid="3" name="Clasificare">
    <vt:lpwstr>NONE</vt:lpwstr>
  </property>
</Properties>
</file>